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A85DAA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A85DAA" w:rsidRPr="00FC13A3" w:rsidRDefault="00A85DAA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Senior Executive Work Level Standards</w:t>
            </w:r>
          </w:p>
        </w:tc>
        <w:tc>
          <w:tcPr>
            <w:tcW w:w="6831" w:type="dxa"/>
          </w:tcPr>
          <w:p w:rsidR="00A85DAA" w:rsidRDefault="00A85DAA" w:rsidP="00C60D72">
            <w:pPr>
              <w:pStyle w:val="TableTextWhite"/>
            </w:pPr>
            <w:r>
              <w:t>Work Contribution Stream: Service/Operational Delivery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Band 2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2F5729" w:rsidP="00C60D72">
            <w:pPr>
              <w:pStyle w:val="TableTextWhite"/>
            </w:pPr>
            <w:r>
              <w:t>NA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2F5729" w:rsidP="00C60D72">
            <w:pPr>
              <w:pStyle w:val="TableTextWhite"/>
            </w:pPr>
            <w:r>
              <w:t>NA</w:t>
            </w: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29 June 2020</w:t>
            </w:r>
          </w:p>
        </w:tc>
      </w:tr>
    </w:tbl>
    <w:p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Executive Director, Service Delivery provides leadership, direction and management to the delivery of consistently high</w:t>
      </w:r>
      <w:r w:rsidR="002F5729">
        <w:t>-</w:t>
      </w:r>
      <w:r>
        <w:t>quality services by the Agency, with a focus on strategic and operational planning, governance and evaluation of service delivery performance to support the achievement of objectives.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2F5729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leadership and expert advice on service delivery issues, planning, service development approaches and create best-practice service delivery goals, standards and measures of success to ensure expectations are clear and that service delivery strategies are well aligned to overall Agency objectives</w:t>
      </w:r>
    </w:p>
    <w:p w:rsidR="002F5729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Develop and implement service delivery priorities, strategies and programs in short, medium and long-term timeframes to meet the diverse needs of key stakeholders and communities</w:t>
      </w:r>
    </w:p>
    <w:p w:rsidR="002F5729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Drive and oversee financial, human, physical and intellectual capital/resources and their interdependencies in an operationally effective and efficient manner to better facilitate service delivery and optimise outcomes for service recipients</w:t>
      </w:r>
    </w:p>
    <w:p w:rsidR="002F5729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high quality service strategy advice to the Agency Head/Secretary and Senior Executives to effectively inform strategic planning processes at both agency and cluster levels</w:t>
      </w:r>
    </w:p>
    <w:p w:rsidR="002F5729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Develop and execute robust service delivery governance and risk frameworks to identify, manage and minimise financial, reputational and service delivery risks</w:t>
      </w:r>
    </w:p>
    <w:p w:rsidR="003927AE" w:rsidRPr="002F5729" w:rsidRDefault="007E77DC" w:rsidP="002F572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Monitor and evaluate service delivery processes and outcomes to ensure service delivery is efficient and cost effective and to action necessary improvements as required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2F5729" w:rsidRPr="002F5729" w:rsidRDefault="007E77DC" w:rsidP="002F5729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Determining the best approaches to service delivery and implementing service reform and improvement in the context of diverse and changing internal and external stakeholder needs</w:t>
      </w:r>
    </w:p>
    <w:p w:rsidR="003927AE" w:rsidRPr="002F5729" w:rsidRDefault="007E77DC" w:rsidP="002F5729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Developing and effectively executing service delivery models which transform the way clients/customers can maximise their own opportunities and choices within fiscal, legal and ethical public service obligations</w:t>
      </w:r>
    </w:p>
    <w:p w:rsidR="002F5729" w:rsidRDefault="002F5729" w:rsidP="003927AE">
      <w:pPr>
        <w:tabs>
          <w:tab w:val="left" w:pos="2925"/>
        </w:tabs>
        <w:spacing w:line="240" w:lineRule="auto"/>
        <w:rPr>
          <w:rStyle w:val="Heading1Char"/>
        </w:rPr>
      </w:pPr>
      <w:r>
        <w:rPr>
          <w:rStyle w:val="Heading1Char"/>
        </w:rPr>
        <w:br w:type="page"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lastRenderedPageBreak/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authoritative and expert advice on service delivery matters, providing counsel and recommendations which influence planning and decision making</w:t>
            </w:r>
          </w:p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service delivery funding and resourcing that are consistent with strategic plans and priorities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Communicate information related to Cluster and Agency performance against service delivery budgets and outcome measures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Executive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Advise on service delivery matters and ensure that stakeholder satisfaction with services informs decisions at all executive levels</w:t>
            </w:r>
          </w:p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Ensure the effectiveness of service delivery planning, decision making and governance frameworks across the Cluster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productive and collaborative internal and external working relationships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Engage key stakeholders in service design, delivery and assessment to continually improve service delivery models and solutions</w:t>
            </w:r>
          </w:p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Coordinate and participate in monitoring, review and auditing processes related to service delivery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Promote the practice of quality service delivery that meets contractual requirements, legal obligations and organisational policy and procedures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Direct Reports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Inspire and motivate, provide direction and manage performance and development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Establish networks to enable performance benchmarking, monitor industry trends, maintain currency, and collaborate on common responses to emerging and future issues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 xml:space="preserve">Vendors/Service </w:t>
            </w:r>
            <w:r w:rsidR="002F5729">
              <w:t>P</w:t>
            </w:r>
            <w:r>
              <w:t>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111A03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Negotiate and approve significant contracts or service level agreements with external providers on behalf of the Cluster/Agency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Monitor performance standards and service outcomes to ensure the high quality and effectiveness of activities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relationships and open channels of communication with key community and/or industry stakeholders to ensure that programs and services meet current and evolving needs and articulated standards of performance</w:t>
            </w:r>
          </w:p>
        </w:tc>
      </w:tr>
    </w:tbl>
    <w:p w:rsidR="003927AE" w:rsidRDefault="003927AE" w:rsidP="003927AE"/>
    <w:p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:rsidR="003927AE" w:rsidRPr="00614552" w:rsidRDefault="003927AE" w:rsidP="003927AE">
      <w:pPr>
        <w:pStyle w:val="Heading2"/>
      </w:pPr>
      <w:r w:rsidRPr="00614552">
        <w:t>Decision making</w:t>
      </w:r>
    </w:p>
    <w:p w:rsidR="003927AE" w:rsidRPr="00603D53" w:rsidRDefault="00111A03" w:rsidP="003927AE">
      <w:pPr>
        <w:rPr>
          <w:rFonts w:cs="Arial"/>
          <w:szCs w:val="26"/>
        </w:rPr>
      </w:pPr>
      <w:r>
        <w:t>NA</w:t>
      </w:r>
    </w:p>
    <w:p w:rsidR="003927AE" w:rsidRPr="00614552" w:rsidRDefault="003927AE" w:rsidP="003927AE">
      <w:pPr>
        <w:pStyle w:val="Heading2"/>
      </w:pPr>
      <w:r w:rsidRPr="00614552">
        <w:t>Reporting line</w:t>
      </w:r>
    </w:p>
    <w:p w:rsidR="003927AE" w:rsidRPr="00603D53" w:rsidRDefault="00111A03" w:rsidP="003927AE">
      <w:pPr>
        <w:rPr>
          <w:rFonts w:cs="Arial"/>
          <w:szCs w:val="26"/>
        </w:rPr>
      </w:pPr>
      <w:r>
        <w:t>NA</w:t>
      </w:r>
    </w:p>
    <w:p w:rsidR="003927AE" w:rsidRPr="00614552" w:rsidRDefault="003927AE" w:rsidP="003927AE">
      <w:pPr>
        <w:pStyle w:val="Heading2"/>
      </w:pPr>
      <w:r w:rsidRPr="00614552">
        <w:lastRenderedPageBreak/>
        <w:t>Direct reports</w:t>
      </w:r>
    </w:p>
    <w:p w:rsidR="003927AE" w:rsidRPr="00603D53" w:rsidRDefault="00111A03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:rsidR="003927AE" w:rsidRPr="00614552" w:rsidRDefault="003927AE" w:rsidP="003927AE">
      <w:pPr>
        <w:pStyle w:val="Heading2"/>
      </w:pPr>
      <w:r w:rsidRPr="00614552">
        <w:t>Budget/Expenditure</w:t>
      </w:r>
    </w:p>
    <w:p w:rsidR="003927AE" w:rsidRDefault="00111A03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Champion and model the highest standards of ethical and professional behaviour</w:t>
            </w:r>
          </w:p>
          <w:p w:rsidR="002D336D" w:rsidRPr="00AA57E3" w:rsidRDefault="002D336D" w:rsidP="002D336D">
            <w:pPr>
              <w:pStyle w:val="TableBullet"/>
            </w:pPr>
            <w:r>
              <w:t>Drive a culture of integrity and professionalism within the organisation, and in dealings across government and with other jurisdictions and external organisations</w:t>
            </w:r>
          </w:p>
          <w:p w:rsidR="002D336D" w:rsidRPr="00AA57E3" w:rsidRDefault="002D336D" w:rsidP="002D336D">
            <w:pPr>
              <w:pStyle w:val="TableBullet"/>
            </w:pPr>
            <w:r>
              <w:t>Set, communicate and evaluate ethical practices, standards and systems and reinforce their use</w:t>
            </w:r>
          </w:p>
          <w:p w:rsidR="002D336D" w:rsidRPr="00AA57E3" w:rsidRDefault="002D336D" w:rsidP="002D336D">
            <w:pPr>
              <w:pStyle w:val="TableBullet"/>
            </w:pPr>
            <w:r>
              <w:t>Create and promote a culture in which staff feel able to report apparent breaches of legislation, policies and guidelines and act promptly and visibly in response to such reports</w:t>
            </w:r>
          </w:p>
          <w:p w:rsidR="002D336D" w:rsidRPr="00AA57E3" w:rsidRDefault="002D336D" w:rsidP="002D336D">
            <w:pPr>
              <w:pStyle w:val="TableBullet"/>
            </w:pPr>
            <w:r>
              <w:t>Act promptly and visibly to prevent and respond to unethical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</w:tbl>
    <w:p w:rsidR="00111A03" w:rsidRDefault="00111A03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111A03" w:rsidRPr="00803E47" w:rsidTr="00D45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111A03" w:rsidRPr="00803E47" w:rsidRDefault="00111A03" w:rsidP="00D45682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111A03" w:rsidRPr="00C978B9" w:rsidTr="00D45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111A03" w:rsidRPr="00C978B9" w:rsidRDefault="00111A03" w:rsidP="00D45682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111A03" w:rsidRPr="00C978B9" w:rsidRDefault="00111A03" w:rsidP="00D45682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111A03" w:rsidRDefault="00111A03" w:rsidP="00D45682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111A03" w:rsidRDefault="00111A03" w:rsidP="00D45682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111A03" w:rsidRDefault="00111A03" w:rsidP="00D45682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Present with credibility, engage diverse audiences and test levels of understanding</w:t>
            </w:r>
          </w:p>
          <w:p w:rsidR="002D336D" w:rsidRPr="00AA57E3" w:rsidRDefault="002D336D" w:rsidP="002D336D">
            <w:pPr>
              <w:pStyle w:val="TableBullet"/>
            </w:pPr>
            <w:r>
              <w:t>Translate technical and complex information clearly and concisely for diverse audiences</w:t>
            </w:r>
          </w:p>
          <w:p w:rsidR="002D336D" w:rsidRPr="00AA57E3" w:rsidRDefault="002D336D" w:rsidP="002D336D">
            <w:pPr>
              <w:pStyle w:val="TableBullet"/>
            </w:pPr>
            <w:r>
              <w:t>Create opportunities for others to contribute to discussion and debate</w:t>
            </w:r>
          </w:p>
          <w:p w:rsidR="002D336D" w:rsidRPr="00AA57E3" w:rsidRDefault="002D336D" w:rsidP="002D336D">
            <w:pPr>
              <w:pStyle w:val="TableBullet"/>
            </w:pPr>
            <w:r>
              <w:t>Contribute to and promote information sharing across the organisation</w:t>
            </w:r>
          </w:p>
          <w:p w:rsidR="002D336D" w:rsidRPr="00AA57E3" w:rsidRDefault="002D336D" w:rsidP="002D336D">
            <w:pPr>
              <w:pStyle w:val="TableBullet"/>
            </w:pPr>
            <w:r>
              <w:t>Manage complex communications that involve understanding and responding to multiple and divergent viewpoints</w:t>
            </w:r>
          </w:p>
          <w:p w:rsidR="002D336D" w:rsidRPr="00AA57E3" w:rsidRDefault="002D336D" w:rsidP="002D336D">
            <w:pPr>
              <w:pStyle w:val="TableBullet"/>
            </w:pPr>
            <w:r>
              <w:t>Explore creative ways to engage diverse audiences and communicate information</w:t>
            </w:r>
          </w:p>
          <w:p w:rsidR="002D336D" w:rsidRPr="00AA57E3" w:rsidRDefault="002D336D" w:rsidP="002D336D">
            <w:pPr>
              <w:pStyle w:val="TableBullet"/>
            </w:pPr>
            <w:r>
              <w:t>Adjust style and approach to optimise outcomes</w:t>
            </w:r>
          </w:p>
          <w:p w:rsidR="002D336D" w:rsidRPr="00AA57E3" w:rsidRDefault="002D336D" w:rsidP="002D336D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Create a culture that embraces high-quality customer service across the organisation, ensuring that management systems and processes drive service delivery outcomes</w:t>
            </w:r>
          </w:p>
          <w:p w:rsidR="002D336D" w:rsidRDefault="002D336D" w:rsidP="002D336D">
            <w:pPr>
              <w:pStyle w:val="TableBullet"/>
            </w:pPr>
            <w:r>
              <w:t>Engage and negotiate with stakeholders on strategic issues related to government policy, standards of customer service and accessibility, and provide expert, influential advice</w:t>
            </w:r>
          </w:p>
          <w:p w:rsidR="002D336D" w:rsidRDefault="002D336D" w:rsidP="002D336D">
            <w:pPr>
              <w:pStyle w:val="TableBullet"/>
            </w:pPr>
            <w:r>
              <w:t>Ensure that responsiveness to customer needs is central to the organisation’s strategic planning processes</w:t>
            </w:r>
          </w:p>
          <w:p w:rsidR="002D336D" w:rsidRDefault="002D336D" w:rsidP="002D336D">
            <w:pPr>
              <w:pStyle w:val="TableBullet"/>
            </w:pPr>
            <w:r>
              <w:t>Set overall performance standards for service delivery across the organisation and monitor compliance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Use own professional knowledge and the expertise of others to drive forward organisational and government objectives</w:t>
            </w:r>
          </w:p>
          <w:p w:rsidR="002D336D" w:rsidRPr="00AA57E3" w:rsidRDefault="002D336D" w:rsidP="002D336D">
            <w:pPr>
              <w:pStyle w:val="TableBullet"/>
            </w:pPr>
            <w:r>
              <w:t>Create a culture of achievement, fostering on-time and on-budget quality outcomes in the organisation</w:t>
            </w:r>
          </w:p>
          <w:p w:rsidR="002D336D" w:rsidRPr="00AA57E3" w:rsidRDefault="002D336D" w:rsidP="002D336D">
            <w:pPr>
              <w:pStyle w:val="TableBullet"/>
            </w:pPr>
            <w:r>
              <w:t>Identify, recognise and celebrate success</w:t>
            </w:r>
          </w:p>
          <w:p w:rsidR="002D336D" w:rsidRPr="00AA57E3" w:rsidRDefault="002D336D" w:rsidP="002D336D">
            <w:pPr>
              <w:pStyle w:val="TableBullet"/>
            </w:pPr>
            <w:r>
              <w:t>Establish systems to ensure all staff are able to identify direct connections between their efforts and organisational outcomes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remove potential barriers or hurdles to achieving outcomes</w:t>
            </w:r>
          </w:p>
          <w:p w:rsidR="002D336D" w:rsidRPr="00AA57E3" w:rsidRDefault="002D336D" w:rsidP="002D336D">
            <w:pPr>
              <w:pStyle w:val="TableBullet"/>
            </w:pPr>
            <w:r>
              <w:t>Initiate and communicate high-level priorities for the organisation to achieve government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Demonstrate Accountability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Be proactive and responsible for own actions, and adhere to legislation, policy and guidelines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Direct the development of effective systems for establishing and measuring accountabilities and evaluate ongoing effectiveness</w:t>
            </w:r>
          </w:p>
          <w:p w:rsidR="002D336D" w:rsidRDefault="002D336D" w:rsidP="002D336D">
            <w:pPr>
              <w:pStyle w:val="TableBullet"/>
            </w:pPr>
            <w:r>
              <w:t>Promote a culture of accountability with clear links to government goals</w:t>
            </w:r>
          </w:p>
          <w:p w:rsidR="002D336D" w:rsidRDefault="002D336D" w:rsidP="002D336D">
            <w:pPr>
              <w:pStyle w:val="TableBullet"/>
            </w:pPr>
            <w:r>
              <w:t>Set standards and exercise due diligence to ensure work health and safety risks are addressed</w:t>
            </w:r>
          </w:p>
          <w:p w:rsidR="002D336D" w:rsidRDefault="002D336D" w:rsidP="002D336D">
            <w:pPr>
              <w:pStyle w:val="TableBullet"/>
            </w:pPr>
            <w:r>
              <w:t>Inspire a culture that respects the obligation to manage public monies and other resources responsibly and with the highest standards of probity</w:t>
            </w:r>
          </w:p>
          <w:p w:rsidR="002D336D" w:rsidRDefault="002D336D" w:rsidP="002D336D">
            <w:pPr>
              <w:pStyle w:val="TableBullet"/>
            </w:pPr>
            <w:r>
              <w:t>Ensure that legislative and regulatory frameworks are applied consistently and effectively across the organisation</w:t>
            </w:r>
          </w:p>
          <w:p w:rsidR="002D336D" w:rsidRDefault="002D336D" w:rsidP="002D336D">
            <w:pPr>
              <w:pStyle w:val="TableBullet"/>
            </w:pPr>
            <w:r>
              <w:t>Direct the development of short- and long-term risk management frameworks to ensure government aims and objectives are achieved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Finance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financial processes to achieve value for money and minimise financial risk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a thorough understanding of recurrent and capital financial terminology, policies and processes to planning, forecasting and budget preparation and management</w:t>
            </w:r>
          </w:p>
          <w:p w:rsidR="002D336D" w:rsidRPr="00AA57E3" w:rsidRDefault="002D336D" w:rsidP="002D336D">
            <w:pPr>
              <w:pStyle w:val="TableBullet"/>
            </w:pPr>
            <w:r>
              <w:t>Identify and analyse trends, review data and evaluate business options to ensure business cases are financially sound</w:t>
            </w:r>
          </w:p>
          <w:p w:rsidR="002D336D" w:rsidRPr="00AA57E3" w:rsidRDefault="002D336D" w:rsidP="002D336D">
            <w:pPr>
              <w:pStyle w:val="TableBullet"/>
            </w:pPr>
            <w:r>
              <w:t>Assess relative cost benefits of various purchasing options</w:t>
            </w:r>
          </w:p>
          <w:p w:rsidR="002D336D" w:rsidRPr="00AA57E3" w:rsidRDefault="002D336D" w:rsidP="002D336D">
            <w:pPr>
              <w:pStyle w:val="TableBullet"/>
            </w:pPr>
            <w:r>
              <w:t>Promote the role of sound financial management and its impact on organisational effectiveness</w:t>
            </w:r>
          </w:p>
          <w:p w:rsidR="002D336D" w:rsidRPr="00AA57E3" w:rsidRDefault="002D336D" w:rsidP="002D336D">
            <w:pPr>
              <w:pStyle w:val="TableBullet"/>
            </w:pPr>
            <w:r>
              <w:t>Obtain specialist financial advice when reviewing and evaluating finance systems and processes</w:t>
            </w:r>
          </w:p>
          <w:p w:rsidR="002D336D" w:rsidRPr="00AA57E3" w:rsidRDefault="002D336D" w:rsidP="002D336D">
            <w:pPr>
              <w:pStyle w:val="TableBullet"/>
            </w:pPr>
            <w:r>
              <w:t>Respond to financial and risk management audit outcomes, addressing areas of non-compliance in a timely manner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0CDF20A6" wp14:editId="66F441DD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Refine roles and responsibilities over time to achieve better business outcomes</w:t>
            </w:r>
          </w:p>
          <w:p w:rsidR="002D336D" w:rsidRPr="00AA57E3" w:rsidRDefault="002D336D" w:rsidP="002D336D">
            <w:pPr>
              <w:pStyle w:val="TableBullet"/>
            </w:pPr>
            <w:r>
              <w:t>Recognise talent, develop team capability and undertake succession planning</w:t>
            </w:r>
          </w:p>
          <w:p w:rsidR="002D336D" w:rsidRPr="00AA57E3" w:rsidRDefault="002D336D" w:rsidP="002D336D">
            <w:pPr>
              <w:pStyle w:val="TableBullet"/>
            </w:pPr>
            <w:r>
              <w:t>Coach and mentor staff and encourage professional development and continuous learning</w:t>
            </w:r>
          </w:p>
          <w:p w:rsidR="002D336D" w:rsidRPr="00AA57E3" w:rsidRDefault="002D336D" w:rsidP="002D336D">
            <w:pPr>
              <w:pStyle w:val="TableBullet"/>
            </w:pPr>
            <w:r>
              <w:t>Prioritise addressing and resolving team and individual performance issues and ensure that this approach is cascaded throughout the organisation</w:t>
            </w:r>
          </w:p>
          <w:p w:rsidR="002D336D" w:rsidRPr="00AA57E3" w:rsidRDefault="002D336D" w:rsidP="002D336D">
            <w:pPr>
              <w:pStyle w:val="TableBullet"/>
            </w:pPr>
            <w:r>
              <w:t>Implement performance development frameworks to align workforce capability with the organisation’s current and future priorities and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Inspire Direction and Purpose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Communicate goals, priorities and vision, and recognise achievements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Promote a sense of purpose and enable others to understand the links between government policy, organisational goals and public value</w:t>
            </w:r>
          </w:p>
          <w:p w:rsidR="002D336D" w:rsidRDefault="002D336D" w:rsidP="002D336D">
            <w:pPr>
              <w:pStyle w:val="TableBullet"/>
            </w:pPr>
            <w:r>
              <w:t>Build a shared sense of direction, clarify priorities and goals, and inspire others to achieve these</w:t>
            </w:r>
          </w:p>
          <w:p w:rsidR="002D336D" w:rsidRDefault="002D336D" w:rsidP="002D336D">
            <w:pPr>
              <w:pStyle w:val="TableBullet"/>
            </w:pPr>
            <w:r>
              <w:t>Work with others to translate strategic direction into operational goals and build a shared understanding of the link between these and core business outcomes</w:t>
            </w:r>
          </w:p>
          <w:p w:rsidR="002D336D" w:rsidRDefault="002D336D" w:rsidP="002D336D">
            <w:pPr>
              <w:pStyle w:val="TableBullet"/>
            </w:pPr>
            <w:r>
              <w:t>Create opportunities for recognising and celebrating high performance at the individual and team level</w:t>
            </w:r>
          </w:p>
          <w:p w:rsidR="002D336D" w:rsidRDefault="002D336D" w:rsidP="002D336D">
            <w:pPr>
              <w:pStyle w:val="TableBullet"/>
            </w:pPr>
            <w:r>
              <w:t>Instil confidence, and cultivate an attitude of openness and curiosity in tackling future challenges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Reform and Change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Support, promote and champion change, and assist others to engage with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Clarify the purpose and benefits of continuous improvement for staff and provide coaching and leadership in times of uncertainty</w:t>
            </w:r>
          </w:p>
          <w:p w:rsidR="002D336D" w:rsidRDefault="002D336D" w:rsidP="002D336D">
            <w:pPr>
              <w:pStyle w:val="TableBullet"/>
            </w:pPr>
            <w:r>
              <w:t>Assist others to address emerging challenges and risks and generate support for change initiatives</w:t>
            </w:r>
          </w:p>
          <w:p w:rsidR="002D336D" w:rsidRDefault="002D336D" w:rsidP="002D336D">
            <w:pPr>
              <w:pStyle w:val="TableBullet"/>
            </w:pPr>
            <w:r>
              <w:t>Translate change initiatives into practical strategies and explain these to staff, and their role in implementing them</w:t>
            </w:r>
          </w:p>
          <w:p w:rsidR="002D336D" w:rsidRDefault="002D336D" w:rsidP="002D336D">
            <w:pPr>
              <w:pStyle w:val="TableBullet"/>
            </w:pPr>
            <w:r>
              <w:t>Implement structured change management processes to identify and develop responses to cultural barriers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</w:tbl>
    <w:p w:rsidR="003927AE" w:rsidRDefault="003927AE" w:rsidP="003927AE"/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bookmarkEnd w:id="0"/>
            <w:r w:rsidRPr="00C978B9">
              <w:rPr>
                <w:noProof/>
                <w:lang w:eastAsia="en-AU"/>
              </w:rPr>
              <w:drawing>
                <wp:inline distT="0" distB="0" distL="0" distR="0" wp14:anchorId="0CDF20A6" wp14:editId="66F441DD">
                  <wp:extent cx="847725" cy="847725"/>
                  <wp:effectExtent l="0" t="0" r="9525" b="9525"/>
                  <wp:docPr id="6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AD" w:rsidRDefault="008772AD" w:rsidP="00BB532F">
      <w:pPr>
        <w:spacing w:after="0" w:line="240" w:lineRule="auto"/>
      </w:pPr>
      <w:r>
        <w:separator/>
      </w:r>
    </w:p>
  </w:endnote>
  <w:endnote w:type="continuationSeparator" w:id="0">
    <w:p w:rsidR="008772AD" w:rsidRDefault="008772AD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Executive Director, Service Delivery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AD" w:rsidRDefault="008772AD" w:rsidP="00BB532F">
      <w:pPr>
        <w:spacing w:after="0" w:line="240" w:lineRule="auto"/>
      </w:pPr>
      <w:r>
        <w:separator/>
      </w:r>
    </w:p>
  </w:footnote>
  <w:footnote w:type="continuationSeparator" w:id="0">
    <w:p w:rsidR="008772AD" w:rsidRDefault="008772AD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:rsidTr="00894A73">
      <w:trPr>
        <w:trHeight w:val="813"/>
      </w:trPr>
      <w:tc>
        <w:tcPr>
          <w:tcW w:w="7082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Executive Director, Service Delivery</w:t>
          </w:r>
        </w:p>
      </w:tc>
      <w:tc>
        <w:tcPr>
          <w:tcW w:w="368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45FB1"/>
    <w:multiLevelType w:val="hybridMultilevel"/>
    <w:tmpl w:val="A43E5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76E3"/>
    <w:multiLevelType w:val="hybridMultilevel"/>
    <w:tmpl w:val="659A3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11A03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2F5729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772AD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00B3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5DAA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029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1879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B110C"/>
    <w:rsid w:val="00EC0B04"/>
    <w:rsid w:val="00EC4A51"/>
    <w:rsid w:val="00EC5C1D"/>
    <w:rsid w:val="00ED176B"/>
    <w:rsid w:val="00ED5CC6"/>
    <w:rsid w:val="00ED7943"/>
    <w:rsid w:val="00EE3B5B"/>
    <w:rsid w:val="00EF159C"/>
    <w:rsid w:val="00F00C4E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549eccbe01e4489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A4685182</value>
    </field>
    <field name="Objective-Title">
      <value order="0">PSC - Role Description-Executive-Director,-Service-Delivery 301020F</value>
    </field>
    <field name="Objective-Description">
      <value order="0"/>
    </field>
    <field name="Objective-CreationStamp">
      <value order="0">2020-06-29T00:18:59Z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2020-10-30T05:08:37Z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Being Drafted</value>
    </field>
    <field name="Objective-VersionId">
      <value order="0">vA8442850</value>
    </field>
    <field name="Objective-Version">
      <value order="0">3.2</value>
    </field>
    <field name="Objective-VersionNumber">
      <value order="0">5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9CF9FB4-C006-41D5-804F-93A924DC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117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Stephanie Callanan</cp:lastModifiedBy>
  <cp:revision>6</cp:revision>
  <dcterms:created xsi:type="dcterms:W3CDTF">2020-06-29T01:19:00Z</dcterms:created>
  <dcterms:modified xsi:type="dcterms:W3CDTF">2020-10-30T05:04:00Z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A4685182</vt:lpwstr>
  </property>
  <property fmtid="{D5CDD505-2E9C-101B-9397-08002B2CF9AE}" pid="4" name="Objective-Title">
    <vt:lpwstr>PSC - Role Description-Executive-Director,-Service-Delivery 301020F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2020-07-02T03:32:54Z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2020-10-30T05:08:37Z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vA8442850</vt:lpwstr>
  </property>
  <property fmtid="{D5CDD505-2E9C-101B-9397-08002B2CF9AE}" pid="16" name="Objective-Version">
    <vt:lpwstr>3.2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