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5C57F4" w:rsidRPr="00DC0173" w:rsidTr="00C60D72">
        <w:trPr>
          <w:cnfStyle w:val="100000000000" w:firstRow="1" w:lastRow="0" w:firstColumn="0" w:lastColumn="0" w:oddVBand="0" w:evenVBand="0" w:oddHBand="0" w:evenHBand="0" w:firstRowFirstColumn="0" w:firstRowLastColumn="0" w:lastRowFirstColumn="0" w:lastRowLastColumn="0"/>
        </w:trPr>
        <w:tc>
          <w:tcPr>
            <w:tcW w:w="4026" w:type="dxa"/>
          </w:tcPr>
          <w:p w:rsidR="005C57F4" w:rsidRPr="00D75BAE" w:rsidRDefault="005C57F4" w:rsidP="00C60D72">
            <w:pPr>
              <w:pStyle w:val="TableTextWhite"/>
              <w:rPr>
                <w:b/>
                <w:sz w:val="24"/>
                <w:szCs w:val="24"/>
              </w:rPr>
            </w:pPr>
            <w:r>
              <w:rPr>
                <w:b/>
                <w:sz w:val="24"/>
                <w:szCs w:val="24"/>
              </w:rPr>
              <w:t>Cluster</w:t>
            </w:r>
          </w:p>
        </w:tc>
        <w:tc>
          <w:tcPr>
            <w:tcW w:w="6831" w:type="dxa"/>
          </w:tcPr>
          <w:p w:rsidR="005C57F4" w:rsidRPr="00D75BAE" w:rsidRDefault="005C57F4" w:rsidP="00C60D72">
            <w:pPr>
              <w:pStyle w:val="TableTextWhite"/>
              <w:rPr>
                <w:sz w:val="24"/>
                <w:szCs w:val="24"/>
              </w:rPr>
            </w:pPr>
          </w:p>
        </w:tc>
      </w:tr>
      <w:tr w:rsidR="005C57F4" w:rsidRPr="00DC0173" w:rsidTr="00C60D72">
        <w:tc>
          <w:tcPr>
            <w:tcW w:w="4026" w:type="dxa"/>
          </w:tcPr>
          <w:p w:rsidR="005C57F4" w:rsidRDefault="005C57F4" w:rsidP="00C60D72">
            <w:pPr>
              <w:pStyle w:val="TableTextWhite"/>
              <w:rPr>
                <w:b/>
                <w:sz w:val="24"/>
                <w:szCs w:val="24"/>
              </w:rPr>
            </w:pPr>
            <w:r>
              <w:rPr>
                <w:b/>
                <w:sz w:val="24"/>
                <w:szCs w:val="24"/>
              </w:rPr>
              <w:t>Agency</w:t>
            </w:r>
          </w:p>
        </w:tc>
        <w:tc>
          <w:tcPr>
            <w:tcW w:w="6831" w:type="dxa"/>
          </w:tcPr>
          <w:p w:rsidR="005C57F4" w:rsidRPr="00D75BAE" w:rsidRDefault="005C57F4" w:rsidP="00C60D72">
            <w:pPr>
              <w:pStyle w:val="TableTextWhite"/>
              <w:rPr>
                <w:sz w:val="24"/>
                <w:szCs w:val="24"/>
              </w:rPr>
            </w:pPr>
          </w:p>
        </w:tc>
      </w:tr>
      <w:tr w:rsidR="005C57F4" w:rsidRPr="00DC0173" w:rsidTr="00C60D72">
        <w:tc>
          <w:tcPr>
            <w:tcW w:w="4026" w:type="dxa"/>
          </w:tcPr>
          <w:p w:rsidR="005C57F4" w:rsidRDefault="005C57F4" w:rsidP="00C60D72">
            <w:pPr>
              <w:pStyle w:val="TableTextWhite"/>
              <w:rPr>
                <w:b/>
                <w:sz w:val="24"/>
                <w:szCs w:val="24"/>
              </w:rPr>
            </w:pPr>
            <w:r>
              <w:rPr>
                <w:b/>
                <w:sz w:val="24"/>
                <w:szCs w:val="24"/>
              </w:rPr>
              <w:t>Division/Branch/Unit</w:t>
            </w:r>
          </w:p>
        </w:tc>
        <w:tc>
          <w:tcPr>
            <w:tcW w:w="6831" w:type="dxa"/>
          </w:tcPr>
          <w:p w:rsidR="005C57F4" w:rsidRPr="00D75BAE" w:rsidRDefault="005C57F4" w:rsidP="00C60D72">
            <w:pPr>
              <w:pStyle w:val="TableTextWhite"/>
              <w:rPr>
                <w:sz w:val="24"/>
                <w:szCs w:val="24"/>
              </w:rPr>
            </w:pPr>
          </w:p>
        </w:tc>
      </w:tr>
      <w:tr w:rsidR="005C57F4" w:rsidRPr="00DC0173" w:rsidTr="00C60D72">
        <w:tc>
          <w:tcPr>
            <w:tcW w:w="4026" w:type="dxa"/>
          </w:tcPr>
          <w:p w:rsidR="005C57F4" w:rsidRDefault="005C57F4" w:rsidP="00C60D72">
            <w:pPr>
              <w:pStyle w:val="TableTextWhite"/>
              <w:rPr>
                <w:b/>
                <w:sz w:val="24"/>
                <w:szCs w:val="24"/>
              </w:rPr>
            </w:pPr>
            <w:r>
              <w:rPr>
                <w:b/>
                <w:sz w:val="24"/>
                <w:szCs w:val="24"/>
              </w:rPr>
              <w:t>Role number</w:t>
            </w:r>
          </w:p>
        </w:tc>
        <w:tc>
          <w:tcPr>
            <w:tcW w:w="6831" w:type="dxa"/>
          </w:tcPr>
          <w:p w:rsidR="005C57F4" w:rsidRPr="00D75BAE" w:rsidRDefault="005C57F4" w:rsidP="00C60D72">
            <w:pPr>
              <w:pStyle w:val="TableTextWhite"/>
              <w:rPr>
                <w:sz w:val="24"/>
                <w:szCs w:val="24"/>
              </w:rPr>
            </w:pPr>
          </w:p>
        </w:tc>
      </w:tr>
      <w:tr w:rsidR="00801E41" w:rsidRPr="00DC0173" w:rsidTr="00C60D72">
        <w:tc>
          <w:tcPr>
            <w:tcW w:w="4026" w:type="dxa"/>
          </w:tcPr>
          <w:p w:rsidR="00801E41" w:rsidRPr="00D75BAE" w:rsidRDefault="00801E41" w:rsidP="00C60D72">
            <w:pPr>
              <w:pStyle w:val="TableTextWhite"/>
              <w:rPr>
                <w:b/>
                <w:sz w:val="24"/>
                <w:szCs w:val="24"/>
              </w:rPr>
            </w:pPr>
            <w:r w:rsidRPr="00D75BAE">
              <w:rPr>
                <w:b/>
                <w:sz w:val="24"/>
                <w:szCs w:val="24"/>
              </w:rPr>
              <w:t>Classification/Grade/Band</w:t>
            </w:r>
          </w:p>
        </w:tc>
        <w:tc>
          <w:tcPr>
            <w:tcW w:w="6831" w:type="dxa"/>
          </w:tcPr>
          <w:p w:rsidR="00801E41" w:rsidRPr="00D75BAE" w:rsidRDefault="00801E41" w:rsidP="00C60D72">
            <w:pPr>
              <w:pStyle w:val="TableTextWhite"/>
              <w:rPr>
                <w:sz w:val="24"/>
                <w:szCs w:val="24"/>
              </w:rPr>
            </w:pPr>
            <w:r w:rsidRPr="00D75BAE">
              <w:rPr>
                <w:sz w:val="24"/>
                <w:szCs w:val="24"/>
              </w:rPr>
              <w:t>Clerk Grade 11/12</w:t>
            </w:r>
          </w:p>
        </w:tc>
      </w:tr>
      <w:tr w:rsidR="00801E41" w:rsidRPr="00DC0173" w:rsidTr="00C60D72">
        <w:tc>
          <w:tcPr>
            <w:tcW w:w="4026" w:type="dxa"/>
          </w:tcPr>
          <w:p w:rsidR="00801E41" w:rsidRPr="00D75BAE" w:rsidRDefault="00801E41" w:rsidP="00C60D72">
            <w:pPr>
              <w:pStyle w:val="TableTextWhite"/>
              <w:rPr>
                <w:b/>
                <w:sz w:val="24"/>
                <w:szCs w:val="24"/>
              </w:rPr>
            </w:pPr>
            <w:r w:rsidRPr="00D75BAE">
              <w:rPr>
                <w:b/>
                <w:sz w:val="24"/>
                <w:szCs w:val="24"/>
              </w:rPr>
              <w:t>ANZSCO Code</w:t>
            </w:r>
          </w:p>
        </w:tc>
        <w:tc>
          <w:tcPr>
            <w:tcW w:w="6831" w:type="dxa"/>
          </w:tcPr>
          <w:p w:rsidR="00801E41" w:rsidRPr="00D75BAE" w:rsidRDefault="00801E41" w:rsidP="00C60D72">
            <w:pPr>
              <w:pStyle w:val="TableTextWhite"/>
              <w:rPr>
                <w:sz w:val="24"/>
                <w:szCs w:val="24"/>
              </w:rPr>
            </w:pPr>
          </w:p>
        </w:tc>
      </w:tr>
      <w:tr w:rsidR="00801E41" w:rsidRPr="00DC0173" w:rsidTr="00C60D72">
        <w:tc>
          <w:tcPr>
            <w:tcW w:w="4026" w:type="dxa"/>
          </w:tcPr>
          <w:p w:rsidR="00801E41" w:rsidRPr="00D75BAE" w:rsidRDefault="00801E41" w:rsidP="00C60D72">
            <w:pPr>
              <w:pStyle w:val="TableTextWhite"/>
              <w:rPr>
                <w:b/>
                <w:sz w:val="24"/>
                <w:szCs w:val="24"/>
              </w:rPr>
            </w:pPr>
            <w:r w:rsidRPr="00D75BAE">
              <w:rPr>
                <w:b/>
                <w:sz w:val="24"/>
                <w:szCs w:val="24"/>
              </w:rPr>
              <w:t>PCAT Code</w:t>
            </w:r>
          </w:p>
        </w:tc>
        <w:tc>
          <w:tcPr>
            <w:tcW w:w="6831" w:type="dxa"/>
          </w:tcPr>
          <w:p w:rsidR="00801E41" w:rsidRPr="00D75BAE" w:rsidRDefault="00801E41" w:rsidP="00C60D72">
            <w:pPr>
              <w:pStyle w:val="TableTextWhite"/>
              <w:rPr>
                <w:sz w:val="24"/>
                <w:szCs w:val="24"/>
              </w:rPr>
            </w:pPr>
          </w:p>
        </w:tc>
      </w:tr>
      <w:tr w:rsidR="00801E41" w:rsidRPr="00DC0173" w:rsidTr="00C60D72">
        <w:tc>
          <w:tcPr>
            <w:tcW w:w="4026" w:type="dxa"/>
          </w:tcPr>
          <w:p w:rsidR="00801E41" w:rsidRPr="00D75BAE" w:rsidRDefault="00801E41" w:rsidP="00C60D72">
            <w:pPr>
              <w:pStyle w:val="TableTextWhite"/>
              <w:rPr>
                <w:b/>
                <w:sz w:val="24"/>
                <w:szCs w:val="24"/>
              </w:rPr>
            </w:pPr>
            <w:r w:rsidRPr="00D75BAE">
              <w:rPr>
                <w:b/>
                <w:sz w:val="24"/>
                <w:szCs w:val="24"/>
              </w:rPr>
              <w:t>Date of Approval</w:t>
            </w:r>
          </w:p>
        </w:tc>
        <w:tc>
          <w:tcPr>
            <w:tcW w:w="6831" w:type="dxa"/>
          </w:tcPr>
          <w:p w:rsidR="00801E41" w:rsidRPr="00D75BAE" w:rsidRDefault="00801E41" w:rsidP="00C60D72">
            <w:pPr>
              <w:pStyle w:val="TableTextWhite"/>
              <w:rPr>
                <w:sz w:val="24"/>
                <w:szCs w:val="24"/>
              </w:rPr>
            </w:pPr>
          </w:p>
        </w:tc>
      </w:tr>
      <w:tr w:rsidR="005C57F4" w:rsidRPr="00DC0173" w:rsidTr="00C60D72">
        <w:tc>
          <w:tcPr>
            <w:tcW w:w="4026" w:type="dxa"/>
          </w:tcPr>
          <w:p w:rsidR="005C57F4" w:rsidRPr="00D75BAE" w:rsidRDefault="005C57F4" w:rsidP="00C60D72">
            <w:pPr>
              <w:pStyle w:val="TableTextWhite"/>
              <w:rPr>
                <w:b/>
                <w:sz w:val="24"/>
                <w:szCs w:val="24"/>
              </w:rPr>
            </w:pPr>
            <w:r>
              <w:rPr>
                <w:b/>
                <w:sz w:val="24"/>
                <w:szCs w:val="24"/>
              </w:rPr>
              <w:t>Agency Website</w:t>
            </w:r>
          </w:p>
        </w:tc>
        <w:tc>
          <w:tcPr>
            <w:tcW w:w="6831" w:type="dxa"/>
          </w:tcPr>
          <w:p w:rsidR="005C57F4" w:rsidRPr="00D75BAE" w:rsidRDefault="005C57F4" w:rsidP="00C60D72">
            <w:pPr>
              <w:pStyle w:val="TableTextWhite"/>
              <w:rPr>
                <w:sz w:val="24"/>
                <w:szCs w:val="24"/>
              </w:rPr>
            </w:pPr>
          </w:p>
        </w:tc>
      </w:tr>
    </w:tbl>
    <w:p w:rsidR="00D75BAE" w:rsidRDefault="00D75BAE" w:rsidP="003927AE">
      <w:pPr>
        <w:tabs>
          <w:tab w:val="left" w:pos="2925"/>
        </w:tabs>
        <w:rPr>
          <w:rStyle w:val="Heading1Char"/>
        </w:rPr>
      </w:pPr>
    </w:p>
    <w:p w:rsidR="005C57F4" w:rsidRDefault="005C57F4" w:rsidP="003927AE">
      <w:pPr>
        <w:tabs>
          <w:tab w:val="left" w:pos="2925"/>
        </w:tabs>
        <w:rPr>
          <w:rStyle w:val="Heading1Char"/>
        </w:rPr>
      </w:pPr>
      <w:r>
        <w:rPr>
          <w:rStyle w:val="Heading1Char"/>
        </w:rPr>
        <w:t>Agency overview</w:t>
      </w:r>
    </w:p>
    <w:p w:rsidR="003927AE" w:rsidRPr="00614552" w:rsidRDefault="003927AE" w:rsidP="003927AE">
      <w:pPr>
        <w:tabs>
          <w:tab w:val="left" w:pos="2925"/>
        </w:tabs>
        <w:rPr>
          <w:rStyle w:val="Heading1Char"/>
        </w:rPr>
      </w:pPr>
      <w:r w:rsidRPr="00614552">
        <w:rPr>
          <w:rStyle w:val="Heading1Char"/>
        </w:rPr>
        <w:t>Primary purpose of the role</w:t>
      </w:r>
    </w:p>
    <w:p w:rsidR="003927AE" w:rsidRPr="00D75BAE" w:rsidRDefault="003927AE" w:rsidP="003927AE">
      <w:pPr>
        <w:tabs>
          <w:tab w:val="left" w:pos="2925"/>
        </w:tabs>
        <w:rPr>
          <w:rFonts w:ascii="Georgia" w:hAnsi="Georgia"/>
          <w:sz w:val="24"/>
          <w:szCs w:val="24"/>
        </w:rPr>
      </w:pPr>
      <w:r w:rsidRPr="00D75BAE">
        <w:rPr>
          <w:sz w:val="24"/>
          <w:szCs w:val="24"/>
        </w:rPr>
        <w:t>The Manager Procurement leads and directs the provision of procurement services, including procurement planning, development, sourcing, contract and risk management activities, to</w:t>
      </w:r>
      <w:r w:rsidR="003B58C0">
        <w:rPr>
          <w:sz w:val="24"/>
          <w:szCs w:val="24"/>
        </w:rPr>
        <w:t xml:space="preserve"> achieve value for money and to</w:t>
      </w:r>
      <w:r w:rsidRPr="00D75BAE">
        <w:rPr>
          <w:sz w:val="24"/>
          <w:szCs w:val="24"/>
        </w:rPr>
        <w:t xml:space="preserve"> meet business needs</w:t>
      </w:r>
      <w:r w:rsidR="005C57F4">
        <w:rPr>
          <w:sz w:val="24"/>
          <w:szCs w:val="24"/>
        </w:rPr>
        <w:t xml:space="preserve"> and government directions on procurement</w:t>
      </w:r>
    </w:p>
    <w:p w:rsidR="003927AE" w:rsidRPr="00172DFE" w:rsidRDefault="003927AE" w:rsidP="00172DFE">
      <w:pPr>
        <w:tabs>
          <w:tab w:val="left" w:pos="2925"/>
        </w:tabs>
        <w:rPr>
          <w:rStyle w:val="Heading1Char"/>
        </w:rPr>
      </w:pPr>
      <w:r w:rsidRPr="00172DFE">
        <w:rPr>
          <w:rStyle w:val="Heading1Char"/>
        </w:rPr>
        <w:t>Key accountabilities</w:t>
      </w:r>
    </w:p>
    <w:p w:rsidR="00D75BAE" w:rsidRPr="00D75BAE" w:rsidRDefault="007E77DC" w:rsidP="00D75BAE">
      <w:pPr>
        <w:pStyle w:val="ListParagraph"/>
        <w:numPr>
          <w:ilvl w:val="0"/>
          <w:numId w:val="13"/>
        </w:numPr>
        <w:tabs>
          <w:tab w:val="left" w:pos="2925"/>
        </w:tabs>
        <w:rPr>
          <w:sz w:val="24"/>
          <w:szCs w:val="24"/>
        </w:rPr>
      </w:pPr>
      <w:r w:rsidRPr="00D75BAE">
        <w:rPr>
          <w:sz w:val="24"/>
          <w:szCs w:val="24"/>
        </w:rPr>
        <w:t>Lead the development and implementation of policies, procedures, systems and performance management frameworks for all procurement related activity to ensure a high level of professional practice and deliver compliant, effective and efficient procurement outcomes</w:t>
      </w:r>
    </w:p>
    <w:p w:rsidR="00D75BAE" w:rsidRPr="00D75BAE" w:rsidRDefault="007E77DC" w:rsidP="00D75BAE">
      <w:pPr>
        <w:pStyle w:val="ListParagraph"/>
        <w:numPr>
          <w:ilvl w:val="0"/>
          <w:numId w:val="13"/>
        </w:numPr>
        <w:tabs>
          <w:tab w:val="left" w:pos="2925"/>
        </w:tabs>
        <w:rPr>
          <w:sz w:val="24"/>
          <w:szCs w:val="24"/>
        </w:rPr>
      </w:pPr>
      <w:r w:rsidRPr="00D75BAE">
        <w:rPr>
          <w:sz w:val="24"/>
          <w:szCs w:val="24"/>
        </w:rPr>
        <w:t xml:space="preserve">Develop and implement procurement plans and strategies to meet business needs, enhance stakeholder engagement, and challenge and motivate providers to </w:t>
      </w:r>
      <w:proofErr w:type="spellStart"/>
      <w:r w:rsidRPr="00D75BAE">
        <w:rPr>
          <w:sz w:val="24"/>
          <w:szCs w:val="24"/>
        </w:rPr>
        <w:t>optimise</w:t>
      </w:r>
      <w:proofErr w:type="spellEnd"/>
      <w:r w:rsidRPr="00D75BAE">
        <w:rPr>
          <w:sz w:val="24"/>
          <w:szCs w:val="24"/>
        </w:rPr>
        <w:t xml:space="preserve"> service outcomes</w:t>
      </w:r>
    </w:p>
    <w:p w:rsidR="00D75BAE" w:rsidRPr="00D75BAE" w:rsidRDefault="007E77DC" w:rsidP="00D75BAE">
      <w:pPr>
        <w:pStyle w:val="ListParagraph"/>
        <w:numPr>
          <w:ilvl w:val="0"/>
          <w:numId w:val="13"/>
        </w:numPr>
        <w:tabs>
          <w:tab w:val="left" w:pos="2925"/>
        </w:tabs>
        <w:rPr>
          <w:sz w:val="24"/>
          <w:szCs w:val="24"/>
        </w:rPr>
      </w:pPr>
      <w:r w:rsidRPr="00D75BAE">
        <w:rPr>
          <w:sz w:val="24"/>
          <w:szCs w:val="24"/>
        </w:rPr>
        <w:t>Partner with stakeholders to develop innovative supply strategies, establish supply arrangements, lead high-level negotiations and manage contracts to deliver value for money outcomes</w:t>
      </w:r>
    </w:p>
    <w:p w:rsidR="00D75BAE" w:rsidRPr="00D75BAE" w:rsidRDefault="007E77DC" w:rsidP="00D75BAE">
      <w:pPr>
        <w:pStyle w:val="ListParagraph"/>
        <w:numPr>
          <w:ilvl w:val="0"/>
          <w:numId w:val="13"/>
        </w:numPr>
        <w:tabs>
          <w:tab w:val="left" w:pos="2925"/>
        </w:tabs>
        <w:rPr>
          <w:sz w:val="24"/>
          <w:szCs w:val="24"/>
        </w:rPr>
      </w:pPr>
      <w:r w:rsidRPr="00D75BAE">
        <w:rPr>
          <w:sz w:val="24"/>
          <w:szCs w:val="24"/>
        </w:rPr>
        <w:t>Provide authoritative advice to key stakeholders on all aspects of the procurement function to encourage innovative practices, achieve delivery of business outcomes and support policy directions</w:t>
      </w:r>
    </w:p>
    <w:p w:rsidR="00D75BAE" w:rsidRPr="00D75BAE" w:rsidRDefault="007E77DC" w:rsidP="00D75BAE">
      <w:pPr>
        <w:pStyle w:val="ListParagraph"/>
        <w:numPr>
          <w:ilvl w:val="0"/>
          <w:numId w:val="13"/>
        </w:numPr>
        <w:tabs>
          <w:tab w:val="left" w:pos="2925"/>
        </w:tabs>
        <w:rPr>
          <w:sz w:val="24"/>
          <w:szCs w:val="24"/>
        </w:rPr>
      </w:pPr>
      <w:r w:rsidRPr="00D75BAE">
        <w:rPr>
          <w:sz w:val="24"/>
          <w:szCs w:val="24"/>
        </w:rPr>
        <w:t>Lead and manage procurement staff and cross-functional procurement teams to successfully deliver procurement business plans and achieve optimal outcomes from procurement activity</w:t>
      </w:r>
    </w:p>
    <w:p w:rsidR="003927AE" w:rsidRPr="00D75BAE" w:rsidRDefault="007E77DC" w:rsidP="00D75BAE">
      <w:pPr>
        <w:pStyle w:val="ListParagraph"/>
        <w:numPr>
          <w:ilvl w:val="0"/>
          <w:numId w:val="13"/>
        </w:numPr>
        <w:tabs>
          <w:tab w:val="left" w:pos="2925"/>
        </w:tabs>
        <w:rPr>
          <w:sz w:val="24"/>
          <w:szCs w:val="24"/>
        </w:rPr>
      </w:pPr>
      <w:r w:rsidRPr="00D75BAE">
        <w:rPr>
          <w:sz w:val="24"/>
          <w:szCs w:val="24"/>
        </w:rPr>
        <w:t>Apply the procurement governance and risk management framework to monitor compliance, manage risk and improve procurement activity and performance</w:t>
      </w:r>
    </w:p>
    <w:p w:rsidR="005C57F4" w:rsidRDefault="005C57F4" w:rsidP="003927AE">
      <w:pPr>
        <w:tabs>
          <w:tab w:val="left" w:pos="2925"/>
        </w:tabs>
        <w:rPr>
          <w:rStyle w:val="Heading1Char"/>
        </w:rPr>
      </w:pPr>
    </w:p>
    <w:p w:rsidR="005C57F4" w:rsidRDefault="005C57F4" w:rsidP="003927AE">
      <w:pPr>
        <w:tabs>
          <w:tab w:val="left" w:pos="2925"/>
        </w:tabs>
        <w:rPr>
          <w:rStyle w:val="Heading1Char"/>
        </w:rPr>
      </w:pPr>
    </w:p>
    <w:p w:rsidR="003927AE" w:rsidRPr="00614552" w:rsidRDefault="003927AE" w:rsidP="003927AE">
      <w:pPr>
        <w:tabs>
          <w:tab w:val="left" w:pos="2925"/>
        </w:tabs>
        <w:rPr>
          <w:rStyle w:val="Heading1Char"/>
        </w:rPr>
      </w:pPr>
      <w:r w:rsidRPr="00614552">
        <w:rPr>
          <w:rStyle w:val="Heading1Char"/>
        </w:rPr>
        <w:lastRenderedPageBreak/>
        <w:t>Key challenges</w:t>
      </w:r>
    </w:p>
    <w:p w:rsidR="00D75BAE" w:rsidRPr="00D75BAE" w:rsidRDefault="007E77DC" w:rsidP="00D75BAE">
      <w:pPr>
        <w:pStyle w:val="ListParagraph"/>
        <w:numPr>
          <w:ilvl w:val="0"/>
          <w:numId w:val="13"/>
        </w:numPr>
        <w:tabs>
          <w:tab w:val="left" w:pos="2925"/>
        </w:tabs>
        <w:rPr>
          <w:sz w:val="24"/>
          <w:szCs w:val="24"/>
        </w:rPr>
      </w:pPr>
      <w:r w:rsidRPr="00D75BAE">
        <w:rPr>
          <w:sz w:val="24"/>
          <w:szCs w:val="24"/>
        </w:rPr>
        <w:t xml:space="preserve">Managing </w:t>
      </w:r>
      <w:proofErr w:type="spellStart"/>
      <w:r w:rsidRPr="00D75BAE">
        <w:rPr>
          <w:sz w:val="24"/>
          <w:szCs w:val="24"/>
        </w:rPr>
        <w:t>organisational</w:t>
      </w:r>
      <w:proofErr w:type="spellEnd"/>
      <w:r w:rsidRPr="00D75BAE">
        <w:rPr>
          <w:sz w:val="24"/>
          <w:szCs w:val="24"/>
        </w:rPr>
        <w:t xml:space="preserve"> demand and influencing business units to adopt innovative ways of structuring their operations to meet their goods and services needs more efficiently, given that procurement budgets are usually controlled by the business units</w:t>
      </w:r>
    </w:p>
    <w:p w:rsidR="003927AE" w:rsidRDefault="007E77DC" w:rsidP="00D75BAE">
      <w:pPr>
        <w:pStyle w:val="ListParagraph"/>
        <w:numPr>
          <w:ilvl w:val="0"/>
          <w:numId w:val="13"/>
        </w:numPr>
        <w:tabs>
          <w:tab w:val="left" w:pos="2925"/>
        </w:tabs>
        <w:rPr>
          <w:sz w:val="24"/>
          <w:szCs w:val="24"/>
        </w:rPr>
      </w:pPr>
      <w:r w:rsidRPr="00D75BAE">
        <w:rPr>
          <w:sz w:val="24"/>
          <w:szCs w:val="24"/>
        </w:rPr>
        <w:t xml:space="preserve">Developing and implementing strategies to build </w:t>
      </w:r>
      <w:proofErr w:type="spellStart"/>
      <w:r w:rsidRPr="00D75BAE">
        <w:rPr>
          <w:sz w:val="24"/>
          <w:szCs w:val="24"/>
        </w:rPr>
        <w:t>organisational</w:t>
      </w:r>
      <w:proofErr w:type="spellEnd"/>
      <w:r w:rsidRPr="00D75BAE">
        <w:rPr>
          <w:sz w:val="24"/>
          <w:szCs w:val="24"/>
        </w:rPr>
        <w:t xml:space="preserve"> capability in procurement, given the complex legislative and policy environment and the great diversity of factors, including the dynamic nature of supply markets, that need to be </w:t>
      </w:r>
      <w:r w:rsidR="005C57F4">
        <w:rPr>
          <w:sz w:val="24"/>
          <w:szCs w:val="24"/>
        </w:rPr>
        <w:t>considered</w:t>
      </w:r>
      <w:r w:rsidRPr="00D75BAE">
        <w:rPr>
          <w:sz w:val="24"/>
          <w:szCs w:val="24"/>
        </w:rPr>
        <w:t xml:space="preserve"> in many procurement decisions</w:t>
      </w:r>
    </w:p>
    <w:p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rsidR="003927AE" w:rsidRPr="00C978B9" w:rsidRDefault="003927AE" w:rsidP="00A72C86">
            <w:pPr>
              <w:pStyle w:val="TableTextWhite0"/>
            </w:pPr>
            <w:r w:rsidRPr="00C978B9">
              <w:t>Who</w:t>
            </w:r>
          </w:p>
        </w:tc>
        <w:tc>
          <w:tcPr>
            <w:tcW w:w="7256" w:type="dxa"/>
          </w:tcPr>
          <w:p w:rsidR="003927AE" w:rsidRPr="00C978B9" w:rsidRDefault="003927AE" w:rsidP="00A72C86">
            <w:pPr>
              <w:pStyle w:val="TableTextWhite0"/>
            </w:pPr>
            <w:r>
              <w:t xml:space="preserve"> </w:t>
            </w:r>
            <w:r w:rsidRPr="00C978B9">
              <w:t>Why</w:t>
            </w: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Internal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Agency Head/Secretary</w:t>
            </w:r>
          </w:p>
        </w:tc>
        <w:tc>
          <w:tcPr>
            <w:tcW w:w="7256" w:type="dxa"/>
            <w:tcBorders>
              <w:top w:val="single" w:sz="8" w:space="0" w:color="auto"/>
              <w:bottom w:val="single" w:sz="8" w:space="0" w:color="BCBEC0"/>
            </w:tcBorders>
          </w:tcPr>
          <w:p w:rsidR="003927AE" w:rsidRPr="00A15CDB" w:rsidRDefault="003927AE" w:rsidP="003927AE">
            <w:pPr>
              <w:pStyle w:val="TableText"/>
              <w:numPr>
                <w:ilvl w:val="0"/>
                <w:numId w:val="3"/>
              </w:numPr>
            </w:pPr>
            <w:r>
              <w:t>Provide expert advice to contribute to decision making and strategic directions in procurement</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Manager</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Receive advice and report on progress towards business objectives and discuss future directions</w:t>
            </w:r>
          </w:p>
          <w:p w:rsidR="00D75BAE" w:rsidRDefault="003927AE" w:rsidP="003927AE">
            <w:pPr>
              <w:pStyle w:val="TableText"/>
              <w:numPr>
                <w:ilvl w:val="0"/>
                <w:numId w:val="3"/>
              </w:numPr>
            </w:pPr>
            <w:r>
              <w:t xml:space="preserve"> Provide expert advice and contribute to decision making </w:t>
            </w:r>
          </w:p>
          <w:p w:rsidR="003927AE" w:rsidRPr="00A15CDB" w:rsidRDefault="003927AE" w:rsidP="003927AE">
            <w:pPr>
              <w:pStyle w:val="TableText"/>
              <w:numPr>
                <w:ilvl w:val="0"/>
                <w:numId w:val="3"/>
              </w:numPr>
            </w:pPr>
            <w:r>
              <w:t>Identify emerging issues/risks and their implications and propose solutions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Executive</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 xml:space="preserve">Provide expert advice and support to address complex procurement needs and issues </w:t>
            </w:r>
          </w:p>
          <w:p w:rsidR="003927AE" w:rsidRPr="00A15CDB" w:rsidRDefault="00D75BAE" w:rsidP="003927AE">
            <w:pPr>
              <w:pStyle w:val="TableText"/>
              <w:numPr>
                <w:ilvl w:val="0"/>
                <w:numId w:val="3"/>
              </w:numPr>
            </w:pPr>
            <w:r>
              <w:t>P</w:t>
            </w:r>
            <w:r w:rsidR="003927AE">
              <w:t>artner in developing and executing procurement and negotiation strategies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Direct Reports</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 xml:space="preserve">Lead, direct, manage and support performance and development </w:t>
            </w:r>
          </w:p>
          <w:p w:rsidR="003927AE" w:rsidRPr="00A15CDB" w:rsidRDefault="003927AE" w:rsidP="003927AE">
            <w:pPr>
              <w:pStyle w:val="TableText"/>
              <w:numPr>
                <w:ilvl w:val="0"/>
                <w:numId w:val="3"/>
              </w:numPr>
            </w:pPr>
            <w:r>
              <w:t>Guide, support, coach and mentor to develop professional procurement capabilities and a business-partnering approach to stakeholders/clients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 xml:space="preserve">Provide expert advice on procurement related issues and strategies </w:t>
            </w:r>
          </w:p>
          <w:p w:rsidR="00D75BAE" w:rsidRDefault="003927AE" w:rsidP="003927AE">
            <w:pPr>
              <w:pStyle w:val="TableText"/>
              <w:numPr>
                <w:ilvl w:val="0"/>
                <w:numId w:val="3"/>
              </w:numPr>
            </w:pPr>
            <w:r>
              <w:t xml:space="preserve">Optimise engagement to achieve defined outcomes </w:t>
            </w:r>
          </w:p>
          <w:p w:rsidR="003927AE" w:rsidRDefault="003927AE" w:rsidP="003927AE">
            <w:pPr>
              <w:pStyle w:val="TableText"/>
              <w:numPr>
                <w:ilvl w:val="0"/>
                <w:numId w:val="3"/>
              </w:numPr>
            </w:pPr>
            <w:r>
              <w:t>Manage expectations and resolve issues</w:t>
            </w:r>
          </w:p>
          <w:p w:rsidR="00D75BAE" w:rsidRDefault="00D75BAE" w:rsidP="00D75BAE">
            <w:pPr>
              <w:pStyle w:val="TableText"/>
            </w:pPr>
          </w:p>
          <w:p w:rsidR="00D75BAE" w:rsidRPr="00A15CDB" w:rsidRDefault="00D75BAE" w:rsidP="00D75BAE">
            <w:pPr>
              <w:pStyle w:val="TableText"/>
            </w:pPr>
          </w:p>
        </w:tc>
      </w:tr>
      <w:tr w:rsidR="003927AE" w:rsidRPr="00A8245E" w:rsidTr="00E55704">
        <w:tc>
          <w:tcPr>
            <w:tcW w:w="3601" w:type="dxa"/>
            <w:shd w:val="clear" w:color="auto" w:fill="BCBEC0"/>
          </w:tcPr>
          <w:p w:rsidR="003927AE" w:rsidRPr="00A8245E" w:rsidRDefault="003927AE" w:rsidP="00A72C86">
            <w:pPr>
              <w:pStyle w:val="TableText"/>
              <w:keepNext/>
              <w:rPr>
                <w:b/>
              </w:rPr>
            </w:pPr>
            <w:r w:rsidRPr="00A8245E">
              <w:rPr>
                <w:b/>
              </w:rPr>
              <w:t>External</w:t>
            </w:r>
          </w:p>
        </w:tc>
        <w:tc>
          <w:tcPr>
            <w:tcW w:w="7256" w:type="dxa"/>
            <w:shd w:val="clear" w:color="auto" w:fill="BCBEC0"/>
          </w:tcPr>
          <w:p w:rsidR="003927AE" w:rsidRPr="00A8245E" w:rsidRDefault="003927AE" w:rsidP="00A72C86">
            <w:pPr>
              <w:pStyle w:val="TableText"/>
              <w:keepNext/>
              <w:rPr>
                <w:b/>
              </w:rPr>
            </w:pP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 xml:space="preserve">Consult and negotiate on the development, delivery and evaluation of procurement strategies and activities </w:t>
            </w:r>
          </w:p>
          <w:p w:rsidR="003927AE" w:rsidRPr="00A15CDB" w:rsidRDefault="003927AE" w:rsidP="003927AE">
            <w:pPr>
              <w:pStyle w:val="TableText"/>
              <w:numPr>
                <w:ilvl w:val="0"/>
                <w:numId w:val="3"/>
              </w:numPr>
            </w:pPr>
            <w:r>
              <w:t>Manage expectations and resolve issues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Communicate needs, facilitate business transactions and resolve issues</w:t>
            </w:r>
          </w:p>
          <w:p w:rsidR="00D75BAE" w:rsidRDefault="00D75BAE" w:rsidP="003927AE">
            <w:pPr>
              <w:pStyle w:val="TableText"/>
              <w:numPr>
                <w:ilvl w:val="0"/>
                <w:numId w:val="3"/>
              </w:numPr>
            </w:pPr>
            <w:r>
              <w:t>N</w:t>
            </w:r>
            <w:r w:rsidR="003927AE">
              <w:t>egotiate and approve contracts and service agreements and variations</w:t>
            </w:r>
          </w:p>
          <w:p w:rsidR="00D75BAE" w:rsidRDefault="003927AE" w:rsidP="003927AE">
            <w:pPr>
              <w:pStyle w:val="TableText"/>
              <w:numPr>
                <w:ilvl w:val="0"/>
                <w:numId w:val="3"/>
              </w:numPr>
            </w:pPr>
            <w:r>
              <w:t xml:space="preserve">Manage contracts and monitor the provision of service to ensure compliance with contract and service agreements </w:t>
            </w:r>
          </w:p>
          <w:p w:rsidR="003927AE" w:rsidRPr="00A15CDB" w:rsidRDefault="003927AE" w:rsidP="003927AE">
            <w:pPr>
              <w:pStyle w:val="TableText"/>
              <w:numPr>
                <w:ilvl w:val="0"/>
                <w:numId w:val="3"/>
              </w:numPr>
            </w:pPr>
            <w:r>
              <w:t>Develop, co-ordinate and deliver supplier development programs to shape markets to meet current and future needs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lastRenderedPageBreak/>
              <w:t>Other NSW Government Agencies</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 xml:space="preserve">Establish networks to enable performance benchmarking, monitor market trends and maintain currency in procurement trends and developments </w:t>
            </w:r>
          </w:p>
          <w:p w:rsidR="00D75BAE" w:rsidRDefault="003927AE" w:rsidP="003927AE">
            <w:pPr>
              <w:pStyle w:val="TableText"/>
              <w:numPr>
                <w:ilvl w:val="0"/>
                <w:numId w:val="3"/>
              </w:numPr>
            </w:pPr>
            <w:r>
              <w:t>Collaborate on cross agency or whole of government projects/programs</w:t>
            </w:r>
          </w:p>
          <w:p w:rsidR="003927AE" w:rsidRPr="00A15CDB" w:rsidRDefault="003927AE" w:rsidP="003927AE">
            <w:pPr>
              <w:pStyle w:val="TableText"/>
              <w:numPr>
                <w:ilvl w:val="0"/>
                <w:numId w:val="3"/>
              </w:numPr>
            </w:pPr>
            <w:r>
              <w:t>Influence the development of procurement policy, programs and services</w:t>
            </w:r>
          </w:p>
        </w:tc>
      </w:tr>
      <w:tr w:rsidR="003927AE" w:rsidRPr="00C978B9" w:rsidTr="00E55704">
        <w:tc>
          <w:tcPr>
            <w:tcW w:w="3601" w:type="dxa"/>
            <w:tcBorders>
              <w:top w:val="single" w:sz="8" w:space="0" w:color="auto"/>
              <w:bottom w:val="single" w:sz="8" w:space="0" w:color="BCBEC0"/>
            </w:tcBorders>
          </w:tcPr>
          <w:p w:rsidR="003927AE" w:rsidRPr="00A15CDB" w:rsidRDefault="003927AE" w:rsidP="00A72C86">
            <w:pPr>
              <w:pStyle w:val="TableText"/>
            </w:pPr>
            <w:r>
              <w:t>Professional and Sector Associations</w:t>
            </w:r>
          </w:p>
        </w:tc>
        <w:tc>
          <w:tcPr>
            <w:tcW w:w="7256" w:type="dxa"/>
            <w:tcBorders>
              <w:top w:val="single" w:sz="8" w:space="0" w:color="auto"/>
              <w:bottom w:val="single" w:sz="8" w:space="0" w:color="BCBEC0"/>
            </w:tcBorders>
          </w:tcPr>
          <w:p w:rsidR="00D75BAE" w:rsidRDefault="003927AE" w:rsidP="003927AE">
            <w:pPr>
              <w:pStyle w:val="TableText"/>
              <w:numPr>
                <w:ilvl w:val="0"/>
                <w:numId w:val="3"/>
              </w:numPr>
            </w:pPr>
            <w:r>
              <w:t xml:space="preserve">Exchange market intelligence and information on performance benchmarking, innovation and other matters of mutual interest </w:t>
            </w:r>
          </w:p>
          <w:p w:rsidR="003927AE" w:rsidRPr="00A15CDB" w:rsidRDefault="003927AE" w:rsidP="003927AE">
            <w:pPr>
              <w:pStyle w:val="TableText"/>
              <w:numPr>
                <w:ilvl w:val="0"/>
                <w:numId w:val="3"/>
              </w:numPr>
            </w:pPr>
            <w:r>
              <w:t>Build professional expertise and networks</w:t>
            </w:r>
          </w:p>
        </w:tc>
      </w:tr>
    </w:tbl>
    <w:p w:rsidR="00FE03DA" w:rsidRDefault="00FE03DA" w:rsidP="00FE03DA">
      <w:pPr>
        <w:tabs>
          <w:tab w:val="left" w:pos="2925"/>
        </w:tabs>
      </w:pPr>
      <w:r w:rsidRPr="0028589A">
        <w:rPr>
          <w:rStyle w:val="Heading1Char"/>
        </w:rPr>
        <w:t>Role</w:t>
      </w:r>
      <w:r>
        <w:t xml:space="preserve"> </w:t>
      </w:r>
      <w:r w:rsidRPr="0028589A">
        <w:rPr>
          <w:rStyle w:val="Heading1Char"/>
        </w:rPr>
        <w:t>Dimensions</w:t>
      </w:r>
    </w:p>
    <w:p w:rsidR="00FE03DA" w:rsidRPr="00F37B22" w:rsidRDefault="00FE03DA" w:rsidP="00FE03DA">
      <w:pPr>
        <w:rPr>
          <w:sz w:val="24"/>
          <w:szCs w:val="24"/>
        </w:rPr>
      </w:pPr>
      <w:r w:rsidRPr="00F37B22">
        <w:rPr>
          <w:sz w:val="24"/>
          <w:szCs w:val="24"/>
        </w:rPr>
        <w:t>Decision making</w:t>
      </w:r>
    </w:p>
    <w:p w:rsidR="00FE03DA" w:rsidRPr="00F37B22" w:rsidRDefault="00FE03DA" w:rsidP="00FE03DA">
      <w:pPr>
        <w:rPr>
          <w:sz w:val="24"/>
          <w:szCs w:val="24"/>
        </w:rPr>
      </w:pPr>
      <w:r w:rsidRPr="00F37B22">
        <w:rPr>
          <w:sz w:val="24"/>
          <w:szCs w:val="24"/>
        </w:rPr>
        <w:t>Reporting line</w:t>
      </w:r>
    </w:p>
    <w:p w:rsidR="00FE03DA" w:rsidRPr="00F37B22" w:rsidRDefault="00FE03DA" w:rsidP="00FE03DA">
      <w:pPr>
        <w:rPr>
          <w:sz w:val="24"/>
          <w:szCs w:val="24"/>
        </w:rPr>
      </w:pPr>
      <w:r w:rsidRPr="00F37B22">
        <w:rPr>
          <w:sz w:val="24"/>
          <w:szCs w:val="24"/>
        </w:rPr>
        <w:t>Direct reports</w:t>
      </w:r>
    </w:p>
    <w:p w:rsidR="00FE03DA" w:rsidRPr="00F37B22" w:rsidRDefault="00FE03DA" w:rsidP="00FE03DA">
      <w:pPr>
        <w:rPr>
          <w:sz w:val="24"/>
          <w:szCs w:val="24"/>
        </w:rPr>
      </w:pPr>
      <w:r w:rsidRPr="00F37B22">
        <w:rPr>
          <w:sz w:val="24"/>
          <w:szCs w:val="24"/>
        </w:rPr>
        <w:t>Budget/Expenditure</w:t>
      </w:r>
    </w:p>
    <w:p w:rsidR="00FE03DA" w:rsidRPr="0063306A" w:rsidRDefault="00FE03DA" w:rsidP="00FE03DA">
      <w:pPr>
        <w:tabs>
          <w:tab w:val="left" w:pos="2925"/>
        </w:tabs>
        <w:rPr>
          <w:sz w:val="26"/>
          <w:szCs w:val="26"/>
        </w:rPr>
      </w:pPr>
      <w:r w:rsidRPr="0063306A">
        <w:rPr>
          <w:rStyle w:val="Heading1Char"/>
          <w:szCs w:val="26"/>
        </w:rPr>
        <w:t>Key</w:t>
      </w:r>
      <w:r w:rsidRPr="0063306A">
        <w:rPr>
          <w:b/>
          <w:bCs/>
          <w:sz w:val="26"/>
          <w:szCs w:val="26"/>
        </w:rPr>
        <w:t xml:space="preserve"> knowledge and experience</w:t>
      </w:r>
    </w:p>
    <w:p w:rsidR="00FE03DA" w:rsidRPr="0063306A" w:rsidRDefault="00FE03DA" w:rsidP="00FE03DA">
      <w:pPr>
        <w:rPr>
          <w:b/>
          <w:bCs/>
          <w:sz w:val="26"/>
          <w:szCs w:val="26"/>
        </w:rPr>
      </w:pPr>
      <w:r w:rsidRPr="0063306A">
        <w:rPr>
          <w:b/>
          <w:bCs/>
          <w:sz w:val="26"/>
          <w:szCs w:val="26"/>
        </w:rPr>
        <w:t>Essential requirements</w:t>
      </w:r>
    </w:p>
    <w:p w:rsidR="003927AE" w:rsidRPr="00C978B9" w:rsidRDefault="003927AE" w:rsidP="003927AE">
      <w:pPr>
        <w:pStyle w:val="Heading1"/>
      </w:pPr>
      <w:r w:rsidRPr="00C978B9">
        <w:t>Capabilities for the role</w:t>
      </w:r>
    </w:p>
    <w:p w:rsidR="003927AE" w:rsidRPr="00D75BAE" w:rsidRDefault="003927AE" w:rsidP="003927AE">
      <w:pPr>
        <w:rPr>
          <w:sz w:val="24"/>
          <w:szCs w:val="24"/>
        </w:rPr>
      </w:pPr>
      <w:r w:rsidRPr="00D75BAE">
        <w:rPr>
          <w:sz w:val="24"/>
          <w:szCs w:val="24"/>
        </w:rPr>
        <w:t xml:space="preserve">The </w:t>
      </w:r>
      <w:hyperlink r:id="rId9" w:history="1">
        <w:r w:rsidRPr="00D75BAE">
          <w:rPr>
            <w:rStyle w:val="Hyperlink"/>
            <w:sz w:val="24"/>
            <w:szCs w:val="24"/>
          </w:rPr>
          <w:t>NSW public sector capability framework</w:t>
        </w:r>
      </w:hyperlink>
      <w:r w:rsidRPr="00D75BAE">
        <w:rPr>
          <w:sz w:val="24"/>
          <w:szCs w:val="24"/>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3927AE" w:rsidRPr="00D75BAE" w:rsidRDefault="003927AE" w:rsidP="003927AE">
      <w:pPr>
        <w:rPr>
          <w:sz w:val="24"/>
          <w:szCs w:val="24"/>
        </w:rPr>
      </w:pPr>
      <w:r w:rsidRPr="00D75BAE">
        <w:rPr>
          <w:sz w:val="24"/>
          <w:szCs w:val="24"/>
        </w:rPr>
        <w:t xml:space="preserve">The capabilities are separated into </w:t>
      </w:r>
      <w:r w:rsidRPr="00D75BAE">
        <w:rPr>
          <w:b/>
          <w:sz w:val="24"/>
          <w:szCs w:val="24"/>
        </w:rPr>
        <w:t>focus capabilities</w:t>
      </w:r>
      <w:r w:rsidRPr="00D75BAE">
        <w:rPr>
          <w:sz w:val="24"/>
          <w:szCs w:val="24"/>
        </w:rPr>
        <w:t xml:space="preserve"> and </w:t>
      </w:r>
      <w:r w:rsidRPr="00D75BAE">
        <w:rPr>
          <w:b/>
          <w:sz w:val="24"/>
          <w:szCs w:val="24"/>
        </w:rPr>
        <w:t>complementary capabilities</w:t>
      </w:r>
      <w:r w:rsidRPr="00D75BAE">
        <w:rPr>
          <w:sz w:val="24"/>
          <w:szCs w:val="24"/>
        </w:rPr>
        <w:t xml:space="preserve">. </w:t>
      </w:r>
    </w:p>
    <w:p w:rsidR="003927AE" w:rsidRPr="00C978B9" w:rsidRDefault="003927AE" w:rsidP="003927AE">
      <w:pPr>
        <w:pStyle w:val="Heading1"/>
      </w:pPr>
      <w:r w:rsidRPr="00C978B9">
        <w:t xml:space="preserve">Focus </w:t>
      </w:r>
      <w:r>
        <w:t>c</w:t>
      </w:r>
      <w:r w:rsidRPr="00C978B9">
        <w:t>apabilities</w:t>
      </w:r>
    </w:p>
    <w:p w:rsidR="003927AE" w:rsidRPr="00D75BAE" w:rsidRDefault="003927AE" w:rsidP="003927AE">
      <w:pPr>
        <w:pStyle w:val="PlainText"/>
        <w:spacing w:before="62" w:line="276" w:lineRule="auto"/>
        <w:rPr>
          <w:rFonts w:ascii="Arial" w:eastAsiaTheme="minorEastAsia" w:hAnsi="Arial"/>
          <w:sz w:val="24"/>
          <w:szCs w:val="24"/>
          <w:lang w:val="en-US"/>
        </w:rPr>
      </w:pPr>
      <w:r w:rsidRPr="00D75BAE">
        <w:rPr>
          <w:rFonts w:ascii="Arial" w:eastAsiaTheme="minorEastAsia" w:hAnsi="Arial"/>
          <w:i/>
          <w:sz w:val="24"/>
          <w:szCs w:val="24"/>
          <w:lang w:val="en-US"/>
        </w:rPr>
        <w:t>Focus capabilities</w:t>
      </w:r>
      <w:r w:rsidRPr="00D75BAE">
        <w:rPr>
          <w:rFonts w:ascii="Arial" w:eastAsiaTheme="minorEastAsia" w:hAnsi="Arial"/>
          <w:sz w:val="24"/>
          <w:szCs w:val="24"/>
          <w:lang w:val="en-US"/>
        </w:rPr>
        <w:t xml:space="preserve"> are the capabilities considered the most important for effective performance of the role. These capabilities will be assessed at recruitment. </w:t>
      </w:r>
    </w:p>
    <w:p w:rsidR="003927AE" w:rsidRPr="00D75BAE" w:rsidRDefault="003927AE" w:rsidP="00BB12E9">
      <w:pPr>
        <w:pStyle w:val="PlainText"/>
        <w:spacing w:before="62" w:line="276" w:lineRule="auto"/>
        <w:rPr>
          <w:rFonts w:ascii="Arial" w:eastAsiaTheme="minorEastAsia" w:hAnsi="Arial"/>
          <w:sz w:val="24"/>
          <w:szCs w:val="24"/>
          <w:lang w:val="en-US"/>
        </w:rPr>
      </w:pPr>
      <w:r w:rsidRPr="00D75BAE">
        <w:rPr>
          <w:rFonts w:ascii="Arial" w:eastAsiaTheme="minorEastAsia" w:hAnsi="Arial"/>
          <w:sz w:val="24"/>
          <w:szCs w:val="24"/>
          <w:lang w:val="en-US"/>
        </w:rPr>
        <w:t xml:space="preserve">The focus capabilities for this role are shown below with a brief explanation of what each capability covers and the indicators describing the types of </w:t>
      </w:r>
      <w:proofErr w:type="spellStart"/>
      <w:r w:rsidRPr="00D75BAE">
        <w:rPr>
          <w:rFonts w:ascii="Arial" w:eastAsiaTheme="minorEastAsia" w:hAnsi="Arial"/>
          <w:sz w:val="24"/>
          <w:szCs w:val="24"/>
          <w:lang w:val="en-US"/>
        </w:rPr>
        <w:t>behaviours</w:t>
      </w:r>
      <w:proofErr w:type="spellEnd"/>
      <w:r w:rsidRPr="00D75BAE">
        <w:rPr>
          <w:rFonts w:ascii="Arial" w:eastAsiaTheme="minorEastAsia" w:hAnsi="Arial"/>
          <w:sz w:val="24"/>
          <w:szCs w:val="24"/>
          <w:lang w:val="en-US"/>
        </w:rPr>
        <w:t xml:space="preserve"> expected at each level.</w:t>
      </w:r>
    </w:p>
    <w:p w:rsidR="00BB12E9" w:rsidRPr="00D75BAE" w:rsidRDefault="00BB12E9" w:rsidP="00BB12E9">
      <w:pPr>
        <w:pStyle w:val="PlainText"/>
        <w:spacing w:before="62" w:line="276" w:lineRule="auto"/>
        <w:rPr>
          <w:rFonts w:ascii="Arial" w:eastAsiaTheme="minorEastAsia" w:hAnsi="Arial"/>
          <w:sz w:val="24"/>
          <w:szCs w:val="24"/>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138"/>
        <w:gridCol w:w="142"/>
        <w:gridCol w:w="5953"/>
        <w:gridCol w:w="1114"/>
      </w:tblGrid>
      <w:tr w:rsidR="003927AE" w:rsidRPr="00803E4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rsidTr="00D75BAE">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3927AE" w:rsidRPr="00C978B9" w:rsidRDefault="003927AE" w:rsidP="00A72C86">
            <w:pPr>
              <w:pStyle w:val="TableText"/>
              <w:keepNext/>
              <w:rPr>
                <w:b/>
                <w:sz w:val="24"/>
                <w:szCs w:val="24"/>
              </w:rPr>
            </w:pPr>
            <w:r>
              <w:rPr>
                <w:b/>
              </w:rPr>
              <w:t>Capability group/sets</w:t>
            </w:r>
          </w:p>
        </w:tc>
        <w:tc>
          <w:tcPr>
            <w:tcW w:w="2138" w:type="dxa"/>
            <w:tcBorders>
              <w:bottom w:val="single" w:sz="12" w:space="0" w:color="auto"/>
            </w:tcBorders>
            <w:shd w:val="clear" w:color="auto" w:fill="BCBEC0"/>
          </w:tcPr>
          <w:p w:rsidR="003927AE" w:rsidRPr="00C978B9" w:rsidRDefault="003927AE" w:rsidP="00A72C86">
            <w:pPr>
              <w:pStyle w:val="TableText"/>
              <w:keepNext/>
              <w:rPr>
                <w:b/>
                <w:sz w:val="24"/>
                <w:szCs w:val="24"/>
              </w:rPr>
            </w:pPr>
            <w:r w:rsidRPr="00021C23">
              <w:rPr>
                <w:b/>
              </w:rPr>
              <w:t>Ca</w:t>
            </w:r>
            <w:r>
              <w:rPr>
                <w:b/>
              </w:rPr>
              <w:t>pability name</w:t>
            </w:r>
          </w:p>
        </w:tc>
        <w:tc>
          <w:tcPr>
            <w:tcW w:w="142" w:type="dxa"/>
            <w:tcBorders>
              <w:bottom w:val="single" w:sz="12" w:space="0" w:color="auto"/>
            </w:tcBorders>
            <w:shd w:val="clear" w:color="auto" w:fill="BCBEC0"/>
          </w:tcPr>
          <w:p w:rsidR="003927AE" w:rsidRDefault="003927AE" w:rsidP="00A72C86">
            <w:pPr>
              <w:pStyle w:val="TableText"/>
              <w:keepNext/>
              <w:rPr>
                <w:b/>
              </w:rPr>
            </w:pPr>
          </w:p>
        </w:tc>
        <w:tc>
          <w:tcPr>
            <w:tcW w:w="5953" w:type="dxa"/>
            <w:tcBorders>
              <w:bottom w:val="single" w:sz="12" w:space="0" w:color="auto"/>
            </w:tcBorders>
            <w:shd w:val="clear" w:color="auto" w:fill="BCBEC0"/>
          </w:tcPr>
          <w:p w:rsidR="003927AE" w:rsidRDefault="003927AE" w:rsidP="00A72C86">
            <w:pPr>
              <w:pStyle w:val="TableText"/>
              <w:keepNext/>
              <w:rPr>
                <w:b/>
              </w:rPr>
            </w:pPr>
            <w:r>
              <w:rPr>
                <w:b/>
              </w:rPr>
              <w:t>Behavioural indicators</w:t>
            </w:r>
          </w:p>
        </w:tc>
        <w:tc>
          <w:tcPr>
            <w:tcW w:w="1114" w:type="dxa"/>
            <w:tcBorders>
              <w:bottom w:val="single" w:sz="12" w:space="0" w:color="auto"/>
            </w:tcBorders>
            <w:shd w:val="clear" w:color="auto" w:fill="BCBEC0"/>
          </w:tcPr>
          <w:p w:rsidR="003927AE" w:rsidRDefault="003927AE" w:rsidP="00A72C86">
            <w:pPr>
              <w:pStyle w:val="TableText"/>
              <w:keepNext/>
              <w:jc w:val="both"/>
              <w:rPr>
                <w:b/>
              </w:rPr>
            </w:pPr>
            <w:r>
              <w:rPr>
                <w:b/>
              </w:rPr>
              <w:t xml:space="preserve">Level </w:t>
            </w:r>
          </w:p>
        </w:tc>
      </w:tr>
      <w:tr w:rsidR="002D336D" w:rsidRPr="00C978B9" w:rsidTr="00D75BAE">
        <w:tc>
          <w:tcPr>
            <w:tcW w:w="1406" w:type="dxa"/>
            <w:tcBorders>
              <w:bottom w:val="single" w:sz="4" w:space="0" w:color="BCBEC0"/>
            </w:tcBorders>
          </w:tcPr>
          <w:p w:rsidR="002D336D" w:rsidRPr="00C978B9" w:rsidRDefault="00836D30" w:rsidP="00DF2209">
            <w:pPr>
              <w:keepNext/>
            </w:pPr>
            <w:r w:rsidRPr="00C978B9">
              <w:rPr>
                <w:noProof/>
                <w:lang w:eastAsia="en-AU"/>
              </w:rPr>
              <w:drawing>
                <wp:inline distT="0" distB="0" distL="0" distR="0" wp14:anchorId="799C0162" wp14:editId="70EE0349">
                  <wp:extent cx="848995" cy="848995"/>
                  <wp:effectExtent l="0" t="0" r="8255" b="8255"/>
                  <wp:docPr id="15"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280" w:type="dxa"/>
            <w:gridSpan w:val="2"/>
            <w:tcBorders>
              <w:bottom w:val="single" w:sz="4" w:space="0" w:color="BCBEC0"/>
            </w:tcBorders>
          </w:tcPr>
          <w:p w:rsidR="002D336D" w:rsidRPr="00A8226F" w:rsidRDefault="002D336D" w:rsidP="00A72C86">
            <w:pPr>
              <w:pStyle w:val="TableText"/>
              <w:keepNext/>
              <w:rPr>
                <w:b/>
              </w:rPr>
            </w:pPr>
            <w:r>
              <w:rPr>
                <w:b/>
              </w:rPr>
              <w:t>Act with Integrity</w:t>
            </w:r>
          </w:p>
          <w:p w:rsidR="002D336D" w:rsidRPr="00AA57E3" w:rsidRDefault="002D336D" w:rsidP="00A72C86">
            <w:pPr>
              <w:pStyle w:val="TableText"/>
              <w:keepNext/>
            </w:pPr>
            <w:r>
              <w:t>Be ethical and professional, and uphold and promote the public sector values</w:t>
            </w:r>
          </w:p>
        </w:tc>
        <w:tc>
          <w:tcPr>
            <w:tcW w:w="5953" w:type="dxa"/>
            <w:tcBorders>
              <w:bottom w:val="single" w:sz="4" w:space="0" w:color="BCBEC0"/>
            </w:tcBorders>
          </w:tcPr>
          <w:p w:rsidR="002D336D" w:rsidRPr="00AA57E3" w:rsidRDefault="002D336D" w:rsidP="002D336D">
            <w:pPr>
              <w:pStyle w:val="TableBullet"/>
            </w:pPr>
            <w:r>
              <w:t>Model the highest standards of ethical and professional behaviour and reinforce their use</w:t>
            </w:r>
          </w:p>
          <w:p w:rsidR="002D336D" w:rsidRPr="00AA57E3" w:rsidRDefault="002D336D" w:rsidP="002D336D">
            <w:pPr>
              <w:pStyle w:val="TableBullet"/>
            </w:pPr>
            <w:r>
              <w:t>Represent the organisation in an honest, ethical and professional way and set an example for others to follow</w:t>
            </w:r>
          </w:p>
          <w:p w:rsidR="002D336D" w:rsidRPr="00AA57E3" w:rsidRDefault="002D336D" w:rsidP="002D336D">
            <w:pPr>
              <w:pStyle w:val="TableBullet"/>
            </w:pPr>
            <w:r>
              <w:t>Promote a culture of integrity and professionalism within the organisation and in dealings external to government</w:t>
            </w:r>
          </w:p>
          <w:p w:rsidR="002D336D" w:rsidRPr="00AA57E3" w:rsidRDefault="002D336D" w:rsidP="002D336D">
            <w:pPr>
              <w:pStyle w:val="TableBullet"/>
            </w:pPr>
            <w:r>
              <w:t>Monitor ethical practices, standards and systems and reinforce their use</w:t>
            </w:r>
          </w:p>
          <w:p w:rsidR="002D336D" w:rsidRPr="00AA57E3" w:rsidRDefault="002D336D" w:rsidP="002D336D">
            <w:pPr>
              <w:pStyle w:val="TableBullet"/>
            </w:pPr>
            <w:r>
              <w:t>Act promptly on reported breaches of legislation, policies and guidelines</w:t>
            </w:r>
          </w:p>
        </w:tc>
        <w:tc>
          <w:tcPr>
            <w:tcW w:w="1114"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D75BAE">
        <w:tc>
          <w:tcPr>
            <w:tcW w:w="1406" w:type="dxa"/>
            <w:vMerge w:val="restart"/>
            <w:tcBorders>
              <w:bottom w:val="single" w:sz="4" w:space="0" w:color="BCBEC0"/>
            </w:tcBorders>
          </w:tcPr>
          <w:p w:rsidR="002D336D" w:rsidRPr="00C978B9" w:rsidRDefault="00836D30" w:rsidP="00DF2209">
            <w:pPr>
              <w:keepNext/>
            </w:pPr>
            <w:r w:rsidRPr="00C978B9">
              <w:rPr>
                <w:noProof/>
                <w:lang w:eastAsia="en-AU"/>
              </w:rPr>
              <w:drawing>
                <wp:inline distT="0" distB="0" distL="0" distR="0" wp14:anchorId="2B68E1F7" wp14:editId="71B18044">
                  <wp:extent cx="854016" cy="854016"/>
                  <wp:effectExtent l="0" t="0" r="3810" b="3810"/>
                  <wp:docPr id="16"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280" w:type="dxa"/>
            <w:gridSpan w:val="2"/>
            <w:tcBorders>
              <w:bottom w:val="single" w:sz="4" w:space="0" w:color="BCBEC0"/>
            </w:tcBorders>
          </w:tcPr>
          <w:p w:rsidR="002D336D" w:rsidRPr="00A8226F" w:rsidRDefault="002D336D" w:rsidP="00A72C86">
            <w:pPr>
              <w:pStyle w:val="TableText"/>
              <w:keepNext/>
              <w:rPr>
                <w:b/>
              </w:rPr>
            </w:pPr>
            <w:r>
              <w:rPr>
                <w:b/>
              </w:rPr>
              <w:t>Commit to Customer Service</w:t>
            </w:r>
          </w:p>
          <w:p w:rsidR="002D336D" w:rsidRPr="00AA57E3" w:rsidRDefault="002D336D" w:rsidP="00A72C86">
            <w:pPr>
              <w:pStyle w:val="TableText"/>
              <w:keepNext/>
            </w:pPr>
            <w:r>
              <w:t>Provide customer-focused services in line with public sector and organisational objectives</w:t>
            </w:r>
          </w:p>
        </w:tc>
        <w:tc>
          <w:tcPr>
            <w:tcW w:w="5953" w:type="dxa"/>
            <w:tcBorders>
              <w:bottom w:val="single" w:sz="4" w:space="0" w:color="BCBEC0"/>
            </w:tcBorders>
          </w:tcPr>
          <w:p w:rsidR="002D336D" w:rsidRPr="00AA57E3" w:rsidRDefault="002D336D" w:rsidP="002D336D">
            <w:pPr>
              <w:pStyle w:val="TableBullet"/>
            </w:pPr>
            <w:r>
              <w:t>Promote a customer-focused culture in the organisation and consider new ways of working to improve customer experience</w:t>
            </w:r>
          </w:p>
          <w:p w:rsidR="002D336D" w:rsidRPr="00AA57E3" w:rsidRDefault="002D336D" w:rsidP="002D336D">
            <w:pPr>
              <w:pStyle w:val="TableBullet"/>
            </w:pPr>
            <w:r>
              <w:t>Ensure systems are in place to capture customer service insights to improve services</w:t>
            </w:r>
          </w:p>
          <w:p w:rsidR="002D336D" w:rsidRPr="00AA57E3" w:rsidRDefault="002D336D" w:rsidP="002D336D">
            <w:pPr>
              <w:pStyle w:val="TableBullet"/>
            </w:pPr>
            <w:r>
              <w:t>Initiate and develop partnerships with customers to define and evaluate service performance outcomes</w:t>
            </w:r>
          </w:p>
          <w:p w:rsidR="002D336D" w:rsidRPr="00AA57E3" w:rsidRDefault="002D336D" w:rsidP="002D336D">
            <w:pPr>
              <w:pStyle w:val="TableBullet"/>
            </w:pPr>
            <w:r>
              <w:t>Promote and manage alliances within the organisation and across the public, private and community sectors</w:t>
            </w:r>
          </w:p>
          <w:p w:rsidR="002D336D" w:rsidRPr="00AA57E3" w:rsidRDefault="002D336D" w:rsidP="002D336D">
            <w:pPr>
              <w:pStyle w:val="TableBullet"/>
            </w:pPr>
            <w:r>
              <w:t>Liaise with senior stakeholders on key issues and provide expert and influential advice</w:t>
            </w:r>
          </w:p>
          <w:p w:rsidR="002D336D" w:rsidRPr="00AA57E3" w:rsidRDefault="002D336D" w:rsidP="002D336D">
            <w:pPr>
              <w:pStyle w:val="TableBullet"/>
            </w:pPr>
            <w:r>
              <w:t>Identify and incorporate the interests and needs of customers in business process design and encourage new ideas and innovative approaches</w:t>
            </w:r>
          </w:p>
          <w:p w:rsidR="002D336D" w:rsidRPr="00AA57E3" w:rsidRDefault="002D336D" w:rsidP="002D336D">
            <w:pPr>
              <w:pStyle w:val="TableBullet"/>
            </w:pPr>
            <w:r>
              <w:t>Ensure that the organisation’s systems, processes, policies and programs respond to customer needs</w:t>
            </w:r>
          </w:p>
        </w:tc>
        <w:tc>
          <w:tcPr>
            <w:tcW w:w="1114"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D75BAE">
        <w:tc>
          <w:tcPr>
            <w:tcW w:w="1406" w:type="dxa"/>
            <w:vMerge/>
            <w:tcBorders>
              <w:bottom w:val="single" w:sz="4" w:space="0" w:color="BCBEC0"/>
            </w:tcBorders>
          </w:tcPr>
          <w:p w:rsidR="002D336D" w:rsidRDefault="002D336D" w:rsidP="00A72C86">
            <w:pPr>
              <w:keepNext/>
              <w:rPr>
                <w:noProof/>
                <w:lang w:eastAsia="en-AU"/>
              </w:rPr>
            </w:pPr>
          </w:p>
        </w:tc>
        <w:tc>
          <w:tcPr>
            <w:tcW w:w="2280" w:type="dxa"/>
            <w:gridSpan w:val="2"/>
            <w:tcBorders>
              <w:bottom w:val="single" w:sz="4" w:space="0" w:color="BCBEC0"/>
            </w:tcBorders>
          </w:tcPr>
          <w:p w:rsidR="000411F6" w:rsidRPr="00A8226F" w:rsidRDefault="000411F6" w:rsidP="000411F6">
            <w:pPr>
              <w:pStyle w:val="TableText"/>
              <w:keepNext/>
              <w:rPr>
                <w:b/>
              </w:rPr>
            </w:pPr>
            <w:r>
              <w:rPr>
                <w:b/>
              </w:rPr>
              <w:t>Influence and Negotiate</w:t>
            </w:r>
          </w:p>
          <w:p w:rsidR="002D336D" w:rsidRPr="00A8226F" w:rsidRDefault="000411F6" w:rsidP="000411F6">
            <w:pPr>
              <w:pStyle w:val="TableText"/>
              <w:keepNext/>
              <w:rPr>
                <w:b/>
              </w:rPr>
            </w:pPr>
            <w:r>
              <w:t>Gain consensus and commitment from others, and resolve issues and conflicts</w:t>
            </w:r>
          </w:p>
        </w:tc>
        <w:tc>
          <w:tcPr>
            <w:tcW w:w="5953"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Negotiate from an informed and credible position</w:t>
            </w:r>
          </w:p>
          <w:p w:rsidR="002D336D" w:rsidRDefault="002D336D" w:rsidP="002D336D">
            <w:pPr>
              <w:pStyle w:val="TableBullet"/>
            </w:pPr>
            <w:r>
              <w:t>Lead and facilitate productive discussions with staff and stakeholders</w:t>
            </w:r>
          </w:p>
          <w:p w:rsidR="002D336D" w:rsidRDefault="002D336D" w:rsidP="002D336D">
            <w:pPr>
              <w:pStyle w:val="TableBullet"/>
            </w:pPr>
            <w:r>
              <w:t>Encourage others to talk, share and debate ideas to achieve a consensus</w:t>
            </w:r>
          </w:p>
          <w:p w:rsidR="002D336D" w:rsidRDefault="002D336D" w:rsidP="002D336D">
            <w:pPr>
              <w:pStyle w:val="TableBullet"/>
            </w:pPr>
            <w:r>
              <w:t>Recognise diverse perspectives and the need for compromise in negotiating mutually agreed outcomes</w:t>
            </w:r>
          </w:p>
          <w:p w:rsidR="002D336D" w:rsidRDefault="002D336D" w:rsidP="002D336D">
            <w:pPr>
              <w:pStyle w:val="TableBullet"/>
            </w:pPr>
            <w:r>
              <w:t>Influence others with a fair and considered approach and sound arguments</w:t>
            </w:r>
          </w:p>
          <w:p w:rsidR="002D336D" w:rsidRDefault="002D336D" w:rsidP="002D336D">
            <w:pPr>
              <w:pStyle w:val="TableBullet"/>
            </w:pPr>
            <w:r>
              <w:t>Show sensitivity and understanding in resolving conflicts and differences</w:t>
            </w:r>
          </w:p>
          <w:p w:rsidR="002D336D" w:rsidRDefault="002D336D" w:rsidP="002D336D">
            <w:pPr>
              <w:pStyle w:val="TableBullet"/>
            </w:pPr>
            <w:r>
              <w:t>Manage challenging relationships with internal and external stakeholders</w:t>
            </w:r>
          </w:p>
          <w:p w:rsidR="002D336D" w:rsidRDefault="002D336D" w:rsidP="002D336D">
            <w:pPr>
              <w:pStyle w:val="TableBullet"/>
            </w:pPr>
            <w:r>
              <w:t>Anticipate and minimise conflict</w:t>
            </w:r>
          </w:p>
        </w:tc>
        <w:tc>
          <w:tcPr>
            <w:tcW w:w="1114" w:type="dxa"/>
            <w:tcBorders>
              <w:bottom w:val="single" w:sz="4" w:space="0" w:color="BCBEC0"/>
            </w:tcBorders>
          </w:tcPr>
          <w:p w:rsidR="002D336D" w:rsidRDefault="007C0486" w:rsidP="00A72C86">
            <w:pPr>
              <w:pStyle w:val="TableBullet"/>
              <w:numPr>
                <w:ilvl w:val="0"/>
                <w:numId w:val="0"/>
              </w:numPr>
              <w:jc w:val="both"/>
            </w:pPr>
            <w:r>
              <w:t>Adept</w:t>
            </w:r>
          </w:p>
        </w:tc>
      </w:tr>
      <w:tr w:rsidR="002D336D" w:rsidRPr="00C978B9" w:rsidTr="00D75BAE">
        <w:tc>
          <w:tcPr>
            <w:tcW w:w="1406" w:type="dxa"/>
            <w:vMerge w:val="restart"/>
            <w:tcBorders>
              <w:bottom w:val="single" w:sz="4" w:space="0" w:color="BCBEC0"/>
            </w:tcBorders>
          </w:tcPr>
          <w:p w:rsidR="002D336D" w:rsidRPr="00C978B9" w:rsidRDefault="00836D30" w:rsidP="00DF2209">
            <w:pPr>
              <w:keepNext/>
            </w:pPr>
            <w:r w:rsidRPr="00C978B9">
              <w:rPr>
                <w:noProof/>
                <w:lang w:eastAsia="en-AU"/>
              </w:rPr>
              <w:lastRenderedPageBreak/>
              <w:drawing>
                <wp:inline distT="0" distB="0" distL="0" distR="0" wp14:anchorId="485F19C8" wp14:editId="036CDD75">
                  <wp:extent cx="854015" cy="854015"/>
                  <wp:effectExtent l="0" t="0" r="3810" b="3810"/>
                  <wp:docPr id="17"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280" w:type="dxa"/>
            <w:gridSpan w:val="2"/>
            <w:tcBorders>
              <w:bottom w:val="single" w:sz="4" w:space="0" w:color="BCBEC0"/>
            </w:tcBorders>
          </w:tcPr>
          <w:p w:rsidR="002D336D" w:rsidRPr="00A8226F" w:rsidRDefault="002D336D" w:rsidP="00A72C86">
            <w:pPr>
              <w:pStyle w:val="TableText"/>
              <w:keepNext/>
              <w:rPr>
                <w:b/>
              </w:rPr>
            </w:pPr>
            <w:r>
              <w:rPr>
                <w:b/>
              </w:rPr>
              <w:t>Deliver Results</w:t>
            </w:r>
          </w:p>
          <w:p w:rsidR="002D336D" w:rsidRPr="00AA57E3" w:rsidRDefault="002D336D" w:rsidP="00A72C86">
            <w:pPr>
              <w:pStyle w:val="TableText"/>
              <w:keepNext/>
            </w:pPr>
            <w:r>
              <w:t>Achieve results through the efficient use of resources and a commitment to quality outcomes</w:t>
            </w:r>
          </w:p>
        </w:tc>
        <w:tc>
          <w:tcPr>
            <w:tcW w:w="5953" w:type="dxa"/>
            <w:tcBorders>
              <w:bottom w:val="single" w:sz="4" w:space="0" w:color="BCBEC0"/>
            </w:tcBorders>
          </w:tcPr>
          <w:p w:rsidR="002D336D" w:rsidRPr="00AA57E3" w:rsidRDefault="002D336D" w:rsidP="002D336D">
            <w:pPr>
              <w:pStyle w:val="TableBullet"/>
            </w:pPr>
            <w:r>
              <w:t>Use own and others’ expertise to achieve outcomes, and take responsibility for delivering intended outcomes</w:t>
            </w:r>
          </w:p>
          <w:p w:rsidR="002D336D" w:rsidRPr="00AA57E3" w:rsidRDefault="002D336D" w:rsidP="002D336D">
            <w:pPr>
              <w:pStyle w:val="TableBullet"/>
            </w:pPr>
            <w:r>
              <w:t>Make sure staff understand expected goals and acknowledge staff success in achieving these</w:t>
            </w:r>
          </w:p>
          <w:p w:rsidR="002D336D" w:rsidRPr="00AA57E3" w:rsidRDefault="002D336D" w:rsidP="002D336D">
            <w:pPr>
              <w:pStyle w:val="TableBullet"/>
            </w:pPr>
            <w:r>
              <w:t>Identify resource needs and ensure goals are achieved within set budgets and deadlines</w:t>
            </w:r>
          </w:p>
          <w:p w:rsidR="002D336D" w:rsidRPr="00AA57E3" w:rsidRDefault="002D336D" w:rsidP="002D336D">
            <w:pPr>
              <w:pStyle w:val="TableBullet"/>
            </w:pPr>
            <w:r>
              <w:t>Use business data to evaluate outcomes and inform continuous improvement</w:t>
            </w:r>
          </w:p>
          <w:p w:rsidR="002D336D" w:rsidRPr="00AA57E3" w:rsidRDefault="002D336D" w:rsidP="002D336D">
            <w:pPr>
              <w:pStyle w:val="TableBullet"/>
            </w:pPr>
            <w:r>
              <w:t>Identify priorities that need to change and ensure the allocation of resources meets new business needs</w:t>
            </w:r>
          </w:p>
          <w:p w:rsidR="002D336D" w:rsidRPr="00AA57E3" w:rsidRDefault="002D336D" w:rsidP="002D336D">
            <w:pPr>
              <w:pStyle w:val="TableBullet"/>
            </w:pPr>
            <w:r>
              <w:t>Ensure that the financial implications of changed priorities are explicit and budgeted for</w:t>
            </w:r>
          </w:p>
        </w:tc>
        <w:tc>
          <w:tcPr>
            <w:tcW w:w="1114" w:type="dxa"/>
            <w:tcBorders>
              <w:bottom w:val="single" w:sz="4" w:space="0" w:color="BCBEC0"/>
            </w:tcBorders>
          </w:tcPr>
          <w:p w:rsidR="002D336D" w:rsidRDefault="00F15669" w:rsidP="00A72C86">
            <w:pPr>
              <w:pStyle w:val="TableBullet"/>
              <w:numPr>
                <w:ilvl w:val="0"/>
                <w:numId w:val="0"/>
              </w:numPr>
              <w:jc w:val="both"/>
            </w:pPr>
            <w:r>
              <w:t>Adept</w:t>
            </w:r>
          </w:p>
        </w:tc>
      </w:tr>
      <w:tr w:rsidR="002D336D" w:rsidRPr="00C978B9" w:rsidTr="00D75BAE">
        <w:tc>
          <w:tcPr>
            <w:tcW w:w="1406" w:type="dxa"/>
            <w:vMerge/>
            <w:tcBorders>
              <w:bottom w:val="single" w:sz="4" w:space="0" w:color="BCBEC0"/>
            </w:tcBorders>
          </w:tcPr>
          <w:p w:rsidR="002D336D" w:rsidRDefault="002D336D" w:rsidP="00A72C86">
            <w:pPr>
              <w:keepNext/>
              <w:rPr>
                <w:noProof/>
                <w:lang w:eastAsia="en-AU"/>
              </w:rPr>
            </w:pPr>
          </w:p>
        </w:tc>
        <w:tc>
          <w:tcPr>
            <w:tcW w:w="2280" w:type="dxa"/>
            <w:gridSpan w:val="2"/>
            <w:tcBorders>
              <w:bottom w:val="single" w:sz="4" w:space="0" w:color="BCBEC0"/>
            </w:tcBorders>
          </w:tcPr>
          <w:p w:rsidR="000411F6" w:rsidRPr="00A8226F" w:rsidRDefault="000411F6" w:rsidP="000411F6">
            <w:pPr>
              <w:pStyle w:val="TableText"/>
              <w:keepNext/>
              <w:rPr>
                <w:b/>
              </w:rPr>
            </w:pPr>
            <w:r>
              <w:rPr>
                <w:b/>
              </w:rPr>
              <w:t>Think and Solve Problems</w:t>
            </w:r>
          </w:p>
          <w:p w:rsidR="002D336D" w:rsidRPr="00A8226F" w:rsidRDefault="000411F6" w:rsidP="000411F6">
            <w:pPr>
              <w:pStyle w:val="TableText"/>
              <w:keepNext/>
              <w:rPr>
                <w:b/>
              </w:rPr>
            </w:pPr>
            <w:r>
              <w:t>Think, analyse and consider the broader context to develop practical solutions</w:t>
            </w:r>
          </w:p>
        </w:tc>
        <w:tc>
          <w:tcPr>
            <w:tcW w:w="5953"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Undertake objective, critical analysis to draw accurate conclusions that recognise and manage contextual issues</w:t>
            </w:r>
          </w:p>
          <w:p w:rsidR="002D336D" w:rsidRDefault="002D336D" w:rsidP="002D336D">
            <w:pPr>
              <w:pStyle w:val="TableBullet"/>
            </w:pPr>
            <w:r>
              <w:t>Work through issues, weigh up alternatives and identify the most effective solutions in collaboration with others</w:t>
            </w:r>
          </w:p>
          <w:p w:rsidR="002D336D" w:rsidRDefault="002D336D" w:rsidP="002D336D">
            <w:pPr>
              <w:pStyle w:val="TableBullet"/>
            </w:pPr>
            <w:r>
              <w:t>Take account of the wider business context when considering options to resolve issues</w:t>
            </w:r>
          </w:p>
          <w:p w:rsidR="002D336D" w:rsidRDefault="002D336D" w:rsidP="002D336D">
            <w:pPr>
              <w:pStyle w:val="TableBullet"/>
            </w:pPr>
            <w:r>
              <w:t>Explore a range of possibilities and creative alternatives to contribute to system, process and business improvements</w:t>
            </w:r>
          </w:p>
          <w:p w:rsidR="002D336D" w:rsidRDefault="002D336D" w:rsidP="002D336D">
            <w:pPr>
              <w:pStyle w:val="TableBullet"/>
            </w:pPr>
            <w:r>
              <w:t>Implement systems and processes that are underpinned by high-quality research and analysis</w:t>
            </w:r>
          </w:p>
          <w:p w:rsidR="002D336D" w:rsidRDefault="002D336D" w:rsidP="002D336D">
            <w:pPr>
              <w:pStyle w:val="TableBullet"/>
            </w:pPr>
            <w:r>
              <w:t>Look for opportunities to design innovative solutions to meet user needs and service demands</w:t>
            </w:r>
          </w:p>
          <w:p w:rsidR="002D336D" w:rsidRDefault="002D336D" w:rsidP="002D336D">
            <w:pPr>
              <w:pStyle w:val="TableBullet"/>
            </w:pPr>
            <w:r>
              <w:t>Evaluate the performance and effectiveness of services, policies and programs against clear criteria</w:t>
            </w:r>
          </w:p>
        </w:tc>
        <w:tc>
          <w:tcPr>
            <w:tcW w:w="1114" w:type="dxa"/>
            <w:tcBorders>
              <w:bottom w:val="single" w:sz="4" w:space="0" w:color="BCBEC0"/>
            </w:tcBorders>
          </w:tcPr>
          <w:p w:rsidR="002D336D" w:rsidRDefault="007C0486" w:rsidP="00A72C86">
            <w:pPr>
              <w:pStyle w:val="TableBullet"/>
              <w:numPr>
                <w:ilvl w:val="0"/>
                <w:numId w:val="0"/>
              </w:numPr>
              <w:jc w:val="both"/>
            </w:pPr>
            <w:r>
              <w:t>Advanced</w:t>
            </w:r>
          </w:p>
        </w:tc>
      </w:tr>
      <w:tr w:rsidR="002D336D" w:rsidRPr="00C978B9" w:rsidTr="00D75BAE">
        <w:tc>
          <w:tcPr>
            <w:tcW w:w="1406" w:type="dxa"/>
            <w:tcBorders>
              <w:bottom w:val="single" w:sz="4" w:space="0" w:color="BCBEC0"/>
            </w:tcBorders>
          </w:tcPr>
          <w:p w:rsidR="002D336D" w:rsidRPr="00C978B9" w:rsidRDefault="00836D30" w:rsidP="00DF2209">
            <w:pPr>
              <w:keepNext/>
            </w:pPr>
            <w:r w:rsidRPr="00C978B9">
              <w:rPr>
                <w:noProof/>
                <w:lang w:eastAsia="en-AU"/>
              </w:rPr>
              <w:drawing>
                <wp:inline distT="0" distB="0" distL="0" distR="0" wp14:anchorId="6A08FA42" wp14:editId="7575A385">
                  <wp:extent cx="845388" cy="845388"/>
                  <wp:effectExtent l="0" t="0" r="0" b="0"/>
                  <wp:docPr id="18"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280" w:type="dxa"/>
            <w:gridSpan w:val="2"/>
            <w:tcBorders>
              <w:bottom w:val="single" w:sz="4" w:space="0" w:color="BCBEC0"/>
            </w:tcBorders>
          </w:tcPr>
          <w:p w:rsidR="002D336D" w:rsidRPr="00A8226F" w:rsidRDefault="002D336D" w:rsidP="00A72C86">
            <w:pPr>
              <w:pStyle w:val="TableText"/>
              <w:keepNext/>
              <w:rPr>
                <w:b/>
              </w:rPr>
            </w:pPr>
            <w:r>
              <w:rPr>
                <w:b/>
              </w:rPr>
              <w:t>Procurement and Contract Management</w:t>
            </w:r>
          </w:p>
          <w:p w:rsidR="002D336D" w:rsidRPr="00AA57E3" w:rsidRDefault="002D336D" w:rsidP="00A72C86">
            <w:pPr>
              <w:pStyle w:val="TableText"/>
              <w:keepNext/>
            </w:pPr>
            <w:r>
              <w:t>Understand and apply procurement processes to ensure effective purchasing and contract performance</w:t>
            </w:r>
          </w:p>
        </w:tc>
        <w:tc>
          <w:tcPr>
            <w:tcW w:w="5953" w:type="dxa"/>
            <w:tcBorders>
              <w:bottom w:val="single" w:sz="4" w:space="0" w:color="BCBEC0"/>
            </w:tcBorders>
          </w:tcPr>
          <w:p w:rsidR="002D336D" w:rsidRPr="00AA57E3" w:rsidRDefault="002D336D" w:rsidP="002D336D">
            <w:pPr>
              <w:pStyle w:val="TableBullet"/>
            </w:pPr>
            <w:r>
              <w:t>Ensure that employees and contractors apply government and organisational procurement and contract management policies</w:t>
            </w:r>
          </w:p>
          <w:p w:rsidR="002D336D" w:rsidRPr="00AA57E3" w:rsidRDefault="002D336D" w:rsidP="002D336D">
            <w:pPr>
              <w:pStyle w:val="TableBullet"/>
            </w:pPr>
            <w:r>
              <w:t>Monitor procurement and contract management risks and ensure that this informs contract development, management and procurement decisions</w:t>
            </w:r>
          </w:p>
          <w:p w:rsidR="002D336D" w:rsidRPr="00AA57E3" w:rsidRDefault="002D336D" w:rsidP="002D336D">
            <w:pPr>
              <w:pStyle w:val="TableBullet"/>
            </w:pPr>
            <w:r>
              <w:t>Promote effective risk management in procurement</w:t>
            </w:r>
          </w:p>
          <w:p w:rsidR="002D336D" w:rsidRPr="00AA57E3" w:rsidRDefault="002D336D" w:rsidP="002D336D">
            <w:pPr>
              <w:pStyle w:val="TableBullet"/>
            </w:pPr>
            <w:r>
              <w:t>Implement effective governance arrangements to monitor provider, supplier and contractor performance against contracted deliverables and outcomes</w:t>
            </w:r>
          </w:p>
          <w:p w:rsidR="002D336D" w:rsidRPr="00AA57E3" w:rsidRDefault="002D336D" w:rsidP="002D336D">
            <w:pPr>
              <w:pStyle w:val="TableBullet"/>
            </w:pPr>
            <w:r>
              <w:t>Represent the organisation in resolving complex or sensitive disputes with providers, suppliers and contractors</w:t>
            </w:r>
          </w:p>
        </w:tc>
        <w:tc>
          <w:tcPr>
            <w:tcW w:w="1114" w:type="dxa"/>
            <w:tcBorders>
              <w:bottom w:val="single" w:sz="4" w:space="0" w:color="BCBEC0"/>
            </w:tcBorders>
          </w:tcPr>
          <w:p w:rsidR="002D336D" w:rsidRDefault="00F15669" w:rsidP="00A72C86">
            <w:pPr>
              <w:pStyle w:val="TableBullet"/>
              <w:numPr>
                <w:ilvl w:val="0"/>
                <w:numId w:val="0"/>
              </w:numPr>
              <w:jc w:val="both"/>
            </w:pPr>
            <w:r>
              <w:t>Advanced</w:t>
            </w:r>
          </w:p>
        </w:tc>
      </w:tr>
      <w:tr w:rsidR="002D336D" w:rsidRPr="00C978B9" w:rsidTr="00D75BAE">
        <w:tc>
          <w:tcPr>
            <w:tcW w:w="1406" w:type="dxa"/>
            <w:tcBorders>
              <w:bottom w:val="single" w:sz="4" w:space="0" w:color="BCBEC0"/>
            </w:tcBorders>
          </w:tcPr>
          <w:p w:rsidR="002D336D" w:rsidRPr="00C978B9" w:rsidRDefault="00836D30" w:rsidP="00DF2209">
            <w:pPr>
              <w:keepNext/>
            </w:pPr>
            <w:r w:rsidRPr="00C978B9">
              <w:rPr>
                <w:noProof/>
                <w:lang w:eastAsia="en-AU"/>
              </w:rPr>
              <w:lastRenderedPageBreak/>
              <w:drawing>
                <wp:inline distT="0" distB="0" distL="0" distR="0" wp14:anchorId="0B8363B0" wp14:editId="4A9400F9">
                  <wp:extent cx="847725" cy="847725"/>
                  <wp:effectExtent l="0" t="0" r="9525" b="9525"/>
                  <wp:docPr id="19"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280" w:type="dxa"/>
            <w:gridSpan w:val="2"/>
            <w:tcBorders>
              <w:bottom w:val="single" w:sz="4" w:space="0" w:color="BCBEC0"/>
            </w:tcBorders>
          </w:tcPr>
          <w:p w:rsidR="002D336D" w:rsidRPr="00A8226F" w:rsidRDefault="002D336D" w:rsidP="00A72C86">
            <w:pPr>
              <w:pStyle w:val="TableText"/>
              <w:keepNext/>
              <w:rPr>
                <w:b/>
              </w:rPr>
            </w:pPr>
            <w:r>
              <w:rPr>
                <w:b/>
              </w:rPr>
              <w:t>Optimise Business Outcomes</w:t>
            </w:r>
          </w:p>
          <w:p w:rsidR="002D336D" w:rsidRPr="00AA57E3" w:rsidRDefault="002D336D" w:rsidP="00A72C86">
            <w:pPr>
              <w:pStyle w:val="TableText"/>
              <w:keepNext/>
            </w:pPr>
            <w:r>
              <w:t>Manage people and resources effectively to achieve public value</w:t>
            </w:r>
          </w:p>
        </w:tc>
        <w:tc>
          <w:tcPr>
            <w:tcW w:w="5953" w:type="dxa"/>
            <w:tcBorders>
              <w:bottom w:val="single" w:sz="4" w:space="0" w:color="BCBEC0"/>
            </w:tcBorders>
          </w:tcPr>
          <w:p w:rsidR="002D336D" w:rsidRPr="00AA57E3" w:rsidRDefault="002D336D" w:rsidP="002D336D">
            <w:pPr>
              <w:pStyle w:val="TableBullet"/>
            </w:pPr>
            <w:r>
              <w:t>Initiate and develop longer-term goals and plans to guide the work of the team in line with organisational objectives</w:t>
            </w:r>
          </w:p>
          <w:p w:rsidR="002D336D" w:rsidRPr="00AA57E3" w:rsidRDefault="002D336D" w:rsidP="002D336D">
            <w:pPr>
              <w:pStyle w:val="TableBullet"/>
            </w:pPr>
            <w:r>
              <w:t>Allocate resources to ensure the achievement of business outcomes and contribute to wider workforce planning</w:t>
            </w:r>
          </w:p>
          <w:p w:rsidR="002D336D" w:rsidRPr="00AA57E3" w:rsidRDefault="002D336D" w:rsidP="002D336D">
            <w:pPr>
              <w:pStyle w:val="TableBullet"/>
            </w:pPr>
            <w:r>
              <w:t>When planning resources, implement processes that encourage the attraction and retention of people of diverse cultures, backgrounds and experiences</w:t>
            </w:r>
          </w:p>
          <w:p w:rsidR="002D336D" w:rsidRPr="00AA57E3" w:rsidRDefault="002D336D" w:rsidP="002D336D">
            <w:pPr>
              <w:pStyle w:val="TableBullet"/>
            </w:pPr>
            <w:r>
              <w:t>Ensure that team members base their decisions on a sound understanding of business and risk management principles, applied in a public sector context</w:t>
            </w:r>
          </w:p>
          <w:p w:rsidR="002D336D" w:rsidRPr="00AA57E3" w:rsidRDefault="002D336D" w:rsidP="002D336D">
            <w:pPr>
              <w:pStyle w:val="TableBullet"/>
            </w:pPr>
            <w:r>
              <w:t>Monitor performance against standards and take timely corrective actions</w:t>
            </w:r>
          </w:p>
          <w:p w:rsidR="002D336D" w:rsidRPr="00AA57E3" w:rsidRDefault="002D336D" w:rsidP="002D336D">
            <w:pPr>
              <w:pStyle w:val="TableBullet"/>
            </w:pPr>
            <w:r>
              <w:t>Keep others informed about progress and performance outcomes</w:t>
            </w:r>
          </w:p>
        </w:tc>
        <w:tc>
          <w:tcPr>
            <w:tcW w:w="1114" w:type="dxa"/>
            <w:tcBorders>
              <w:bottom w:val="single" w:sz="4" w:space="0" w:color="BCBEC0"/>
            </w:tcBorders>
          </w:tcPr>
          <w:p w:rsidR="002D336D" w:rsidRDefault="00F15669" w:rsidP="00A72C86">
            <w:pPr>
              <w:pStyle w:val="TableBullet"/>
              <w:numPr>
                <w:ilvl w:val="0"/>
                <w:numId w:val="0"/>
              </w:numPr>
              <w:jc w:val="both"/>
            </w:pPr>
            <w:r>
              <w:t>Adept</w:t>
            </w:r>
          </w:p>
        </w:tc>
      </w:tr>
      <w:tr w:rsidR="00982D33" w:rsidRPr="00C978B9" w:rsidTr="00E565B9">
        <w:tblPrEx>
          <w:tblBorders>
            <w:top w:val="single" w:sz="8" w:space="0" w:color="auto"/>
            <w:bottom w:val="single" w:sz="8" w:space="0" w:color="BCBEC0"/>
          </w:tblBorders>
        </w:tblPrEx>
        <w:tc>
          <w:tcPr>
            <w:tcW w:w="10753" w:type="dxa"/>
            <w:gridSpan w:val="5"/>
            <w:shd w:val="clear" w:color="auto" w:fill="6D276A"/>
          </w:tcPr>
          <w:p w:rsidR="00982D33" w:rsidRPr="008539FF" w:rsidRDefault="00982D33" w:rsidP="00A72C86">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D336D" w:rsidRPr="00C978B9" w:rsidTr="00D75BAE">
        <w:tc>
          <w:tcPr>
            <w:tcW w:w="1406" w:type="dxa"/>
            <w:vMerge w:val="restart"/>
            <w:tcBorders>
              <w:bottom w:val="single" w:sz="4" w:space="0" w:color="BCBEC0"/>
            </w:tcBorders>
          </w:tcPr>
          <w:p w:rsidR="002D336D" w:rsidRPr="00C978B9" w:rsidRDefault="002D336D" w:rsidP="00DF2209">
            <w:pPr>
              <w:keepNext/>
            </w:pPr>
            <w:r w:rsidRPr="00C978B9">
              <w:rPr>
                <w:noProof/>
                <w:lang w:eastAsia="en-AU"/>
              </w:rPr>
              <w:lastRenderedPageBreak/>
              <w:drawing>
                <wp:inline distT="0" distB="0" distL="0" distR="0" wp14:anchorId="1B4964A1" wp14:editId="69A63659">
                  <wp:extent cx="849122" cy="849122"/>
                  <wp:effectExtent l="0" t="0" r="8255" b="8255"/>
                  <wp:docPr id="12"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p>
        </w:tc>
        <w:tc>
          <w:tcPr>
            <w:tcW w:w="2280" w:type="dxa"/>
            <w:gridSpan w:val="2"/>
            <w:tcBorders>
              <w:bottom w:val="single" w:sz="4" w:space="0" w:color="BCBEC0"/>
            </w:tcBorders>
          </w:tcPr>
          <w:p w:rsidR="002D336D" w:rsidRPr="00A8226F" w:rsidRDefault="002D336D" w:rsidP="00A72C86">
            <w:pPr>
              <w:pStyle w:val="TableText"/>
              <w:keepNext/>
              <w:rPr>
                <w:b/>
              </w:rPr>
            </w:pPr>
            <w:r>
              <w:rPr>
                <w:b/>
              </w:rPr>
              <w:t>Strategic Sourcing</w:t>
            </w:r>
          </w:p>
          <w:p w:rsidR="002D336D" w:rsidRPr="00AA57E3" w:rsidRDefault="002D336D" w:rsidP="00A72C86">
            <w:pPr>
              <w:pStyle w:val="TableText"/>
              <w:keepNext/>
            </w:pPr>
            <w:r>
              <w:t>Select suppliers of required goods and services, based on market evaluation, capability and alignment to the strategic procurement directions of the organisation</w:t>
            </w:r>
          </w:p>
        </w:tc>
        <w:tc>
          <w:tcPr>
            <w:tcW w:w="5953" w:type="dxa"/>
            <w:tcBorders>
              <w:bottom w:val="single" w:sz="4" w:space="0" w:color="BCBEC0"/>
            </w:tcBorders>
          </w:tcPr>
          <w:p w:rsidR="002D336D" w:rsidRPr="00AA57E3" w:rsidRDefault="002D336D" w:rsidP="002D336D">
            <w:pPr>
              <w:pStyle w:val="TableBullet"/>
            </w:pPr>
            <w:r>
              <w:t>Lead sourcing activities and management of large, complex categories or projects and often facilitate expert reference groups</w:t>
            </w:r>
          </w:p>
          <w:p w:rsidR="002D336D" w:rsidRPr="00AA57E3" w:rsidRDefault="002D336D" w:rsidP="002D336D">
            <w:pPr>
              <w:pStyle w:val="TableBullet"/>
            </w:pPr>
            <w:r>
              <w:t>Lead supplier event days and other internal/external communication forums aimed at developing and engaging with the supply base to improve performance</w:t>
            </w:r>
          </w:p>
          <w:p w:rsidR="002D336D" w:rsidRPr="00AA57E3" w:rsidRDefault="002D336D" w:rsidP="002D336D">
            <w:pPr>
              <w:pStyle w:val="TableBullet"/>
            </w:pPr>
            <w:r>
              <w:t>Lead the development of the supply base strategy within major markets and incorporate input from senior stakeholders and technical functions to obtain agreement to overarching strategy</w:t>
            </w:r>
          </w:p>
          <w:p w:rsidR="002D336D" w:rsidRPr="00AA57E3" w:rsidRDefault="002D336D" w:rsidP="002D336D">
            <w:pPr>
              <w:pStyle w:val="TableBullet"/>
            </w:pPr>
            <w:r>
              <w:t>Demonstrate expertise in the development of all types of market facing documents in all categories and types of procurement activity</w:t>
            </w:r>
          </w:p>
          <w:p w:rsidR="002D336D" w:rsidRPr="00AA57E3" w:rsidRDefault="002D336D" w:rsidP="002D336D">
            <w:pPr>
              <w:pStyle w:val="TableBullet"/>
            </w:pPr>
            <w:r>
              <w:t>Lead cross-functional teams in the evaluation of large, complex, organisation-wide agreements</w:t>
            </w:r>
          </w:p>
          <w:p w:rsidR="002D336D" w:rsidRPr="00AA57E3" w:rsidRDefault="002D336D" w:rsidP="002D336D">
            <w:pPr>
              <w:pStyle w:val="TableBullet"/>
            </w:pPr>
            <w:r>
              <w:t>Develop evaluation plans that assess multiple complex criteria over several stages and incorporate complex Total Cost of Ownership or similar calculations</w:t>
            </w:r>
          </w:p>
          <w:p w:rsidR="002D336D" w:rsidRPr="00AA57E3" w:rsidRDefault="002D336D" w:rsidP="002D336D">
            <w:pPr>
              <w:pStyle w:val="TableBullet"/>
            </w:pPr>
            <w:r>
              <w:t>Execute contracts in line with delegated authority and conduct potentially contentious or difficult debriefs with unsuccessful suppliers</w:t>
            </w:r>
          </w:p>
          <w:p w:rsidR="002D336D" w:rsidRPr="00AA57E3" w:rsidRDefault="002D336D" w:rsidP="002D336D">
            <w:pPr>
              <w:pStyle w:val="TableBullet"/>
            </w:pPr>
            <w:r>
              <w:t>Develop detailed Contract Management Plans, KPIs, performance reviews, governance structures, resources, benefits tracking and reporting for significant projects and procurement categories</w:t>
            </w:r>
          </w:p>
        </w:tc>
        <w:tc>
          <w:tcPr>
            <w:tcW w:w="1114" w:type="dxa"/>
            <w:tcBorders>
              <w:bottom w:val="single" w:sz="4" w:space="0" w:color="BCBEC0"/>
            </w:tcBorders>
          </w:tcPr>
          <w:p w:rsidR="002D336D" w:rsidRDefault="00F15669" w:rsidP="00A72C86">
            <w:pPr>
              <w:pStyle w:val="TableBullet"/>
              <w:numPr>
                <w:ilvl w:val="0"/>
                <w:numId w:val="0"/>
              </w:numPr>
              <w:jc w:val="both"/>
            </w:pPr>
            <w:r>
              <w:t>Level 4</w:t>
            </w:r>
          </w:p>
        </w:tc>
      </w:tr>
      <w:tr w:rsidR="002D336D" w:rsidRPr="00C978B9" w:rsidTr="00D75BAE">
        <w:tc>
          <w:tcPr>
            <w:tcW w:w="1406" w:type="dxa"/>
            <w:vMerge/>
            <w:tcBorders>
              <w:bottom w:val="single" w:sz="4" w:space="0" w:color="BCBEC0"/>
            </w:tcBorders>
          </w:tcPr>
          <w:p w:rsidR="002D336D" w:rsidRDefault="002D336D" w:rsidP="00A72C86">
            <w:pPr>
              <w:keepNext/>
              <w:rPr>
                <w:noProof/>
                <w:lang w:eastAsia="en-AU"/>
              </w:rPr>
            </w:pPr>
          </w:p>
        </w:tc>
        <w:tc>
          <w:tcPr>
            <w:tcW w:w="2280" w:type="dxa"/>
            <w:gridSpan w:val="2"/>
            <w:tcBorders>
              <w:bottom w:val="single" w:sz="4" w:space="0" w:color="BCBEC0"/>
            </w:tcBorders>
          </w:tcPr>
          <w:p w:rsidR="000411F6" w:rsidRPr="00A8226F" w:rsidRDefault="000411F6" w:rsidP="000411F6">
            <w:pPr>
              <w:pStyle w:val="TableText"/>
              <w:keepNext/>
              <w:rPr>
                <w:b/>
              </w:rPr>
            </w:pPr>
            <w:r>
              <w:rPr>
                <w:b/>
              </w:rPr>
              <w:t>Commercial Negotiation</w:t>
            </w:r>
          </w:p>
          <w:p w:rsidR="002D336D" w:rsidRPr="00A8226F" w:rsidRDefault="000411F6" w:rsidP="000411F6">
            <w:pPr>
              <w:pStyle w:val="TableText"/>
              <w:keepNext/>
              <w:rPr>
                <w:b/>
              </w:rPr>
            </w:pPr>
            <w:r>
              <w:t>Plan, conduct and analyse the outcomes of commercial negotiations to achieve business objectives</w:t>
            </w:r>
          </w:p>
        </w:tc>
        <w:tc>
          <w:tcPr>
            <w:tcW w:w="5953"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Develop robust negotiation plans with business partners for complex procurement negotiations and coach other procurement staff in how to approach negotiations</w:t>
            </w:r>
          </w:p>
          <w:p w:rsidR="002D336D" w:rsidRDefault="002D336D" w:rsidP="002D336D">
            <w:pPr>
              <w:pStyle w:val="TableBullet"/>
            </w:pPr>
            <w:r>
              <w:t>Gather and apply leading edge procurement negotiation thinking and practice across the organisation</w:t>
            </w:r>
          </w:p>
          <w:p w:rsidR="002D336D" w:rsidRDefault="002D336D" w:rsidP="002D336D">
            <w:pPr>
              <w:pStyle w:val="TableBullet"/>
            </w:pPr>
            <w:r>
              <w:t>Lead negotiations for large complex categories and significant projects (e.g. outsourcing agreements, Joint Ventures, partnerships)</w:t>
            </w:r>
          </w:p>
          <w:p w:rsidR="002D336D" w:rsidRDefault="002D336D" w:rsidP="002D336D">
            <w:pPr>
              <w:pStyle w:val="TableBullet"/>
            </w:pPr>
            <w:r>
              <w:t>Adopt appropriate negotiation styles for all situations (internal and external), and effectively use these to deliver optimal procurement outcomes</w:t>
            </w:r>
          </w:p>
        </w:tc>
        <w:tc>
          <w:tcPr>
            <w:tcW w:w="1114" w:type="dxa"/>
            <w:tcBorders>
              <w:bottom w:val="single" w:sz="4" w:space="0" w:color="BCBEC0"/>
            </w:tcBorders>
          </w:tcPr>
          <w:p w:rsidR="002D336D" w:rsidRDefault="007C0486" w:rsidP="00A72C86">
            <w:pPr>
              <w:pStyle w:val="TableBullet"/>
              <w:numPr>
                <w:ilvl w:val="0"/>
                <w:numId w:val="0"/>
              </w:numPr>
              <w:jc w:val="both"/>
            </w:pPr>
            <w:r>
              <w:t>Level 4</w:t>
            </w:r>
          </w:p>
        </w:tc>
      </w:tr>
      <w:tr w:rsidR="002D336D" w:rsidRPr="00C978B9" w:rsidTr="00D75BAE">
        <w:tc>
          <w:tcPr>
            <w:tcW w:w="1406" w:type="dxa"/>
            <w:vMerge/>
            <w:tcBorders>
              <w:bottom w:val="single" w:sz="4" w:space="0" w:color="BCBEC0"/>
            </w:tcBorders>
          </w:tcPr>
          <w:p w:rsidR="002D336D" w:rsidRDefault="002D336D" w:rsidP="00A72C86">
            <w:pPr>
              <w:keepNext/>
              <w:rPr>
                <w:noProof/>
                <w:lang w:eastAsia="en-AU"/>
              </w:rPr>
            </w:pPr>
          </w:p>
        </w:tc>
        <w:tc>
          <w:tcPr>
            <w:tcW w:w="2280" w:type="dxa"/>
            <w:gridSpan w:val="2"/>
            <w:tcBorders>
              <w:bottom w:val="single" w:sz="4" w:space="0" w:color="BCBEC0"/>
            </w:tcBorders>
          </w:tcPr>
          <w:p w:rsidR="000411F6" w:rsidRPr="00A8226F" w:rsidRDefault="000411F6" w:rsidP="000411F6">
            <w:pPr>
              <w:pStyle w:val="TableText"/>
              <w:keepNext/>
              <w:rPr>
                <w:b/>
              </w:rPr>
            </w:pPr>
            <w:r>
              <w:rPr>
                <w:b/>
              </w:rPr>
              <w:t>Procurement Risk Management</w:t>
            </w:r>
          </w:p>
          <w:p w:rsidR="002D336D" w:rsidRPr="00A8226F" w:rsidRDefault="000411F6" w:rsidP="000411F6">
            <w:pPr>
              <w:pStyle w:val="TableText"/>
              <w:keepNext/>
              <w:rPr>
                <w:b/>
              </w:rPr>
            </w:pPr>
            <w:r>
              <w:t>Identify, assess and mitigate procurement risks</w:t>
            </w:r>
          </w:p>
        </w:tc>
        <w:tc>
          <w:tcPr>
            <w:tcW w:w="5953" w:type="dxa"/>
            <w:tcBorders>
              <w:bottom w:val="single" w:sz="4" w:space="0" w:color="BCBEC0"/>
            </w:tcBorders>
          </w:tcPr>
          <w:p w:rsidR="002D336D" w:rsidRDefault="002D336D" w:rsidP="002D336D">
            <w:pPr>
              <w:pStyle w:val="TableBullet"/>
              <w:numPr>
                <w:ilvl w:val="0"/>
                <w:numId w:val="0"/>
              </w:numPr>
              <w:ind w:left="360"/>
            </w:pPr>
          </w:p>
          <w:p w:rsidR="002D336D" w:rsidRDefault="002D336D" w:rsidP="002D336D">
            <w:pPr>
              <w:pStyle w:val="TableBullet"/>
            </w:pPr>
            <w:r>
              <w:t>Lead the development of risk management tools and techniques to identify and prioritise risks to service delivery</w:t>
            </w:r>
          </w:p>
          <w:p w:rsidR="002D336D" w:rsidRDefault="002D336D" w:rsidP="002D336D">
            <w:pPr>
              <w:pStyle w:val="TableBullet"/>
            </w:pPr>
            <w:r>
              <w:t>Work closely with business areas to identify and manage commercial, contractual, operational, financial, reputational, ethical and supply chain risks emanating from procurement activity and supply base arrangements</w:t>
            </w:r>
          </w:p>
          <w:p w:rsidR="002D336D" w:rsidRDefault="002D336D" w:rsidP="002D336D">
            <w:pPr>
              <w:pStyle w:val="TableBullet"/>
            </w:pPr>
            <w:r>
              <w:t>Follow procurement risk management processes for major projects and coach others within the team on how to conduct risk assessments using established processes and frameworks</w:t>
            </w:r>
          </w:p>
          <w:p w:rsidR="002D336D" w:rsidRDefault="002D336D" w:rsidP="002D336D">
            <w:pPr>
              <w:pStyle w:val="TableBullet"/>
            </w:pPr>
            <w:r>
              <w:t>Act as an internal consultant on techniques and actions to manage risk for high value complex projects and relationships, and take calculated risks to achieve objectives</w:t>
            </w:r>
          </w:p>
          <w:p w:rsidR="002D336D" w:rsidRDefault="002D336D" w:rsidP="002D336D">
            <w:pPr>
              <w:pStyle w:val="TableBullet"/>
            </w:pPr>
            <w:r>
              <w:t>Manage compliance and work with business partners to eliminate non- compliant practices in procurement</w:t>
            </w:r>
          </w:p>
        </w:tc>
        <w:tc>
          <w:tcPr>
            <w:tcW w:w="1114" w:type="dxa"/>
            <w:tcBorders>
              <w:bottom w:val="single" w:sz="4" w:space="0" w:color="BCBEC0"/>
            </w:tcBorders>
          </w:tcPr>
          <w:p w:rsidR="002D336D" w:rsidRDefault="007C0486" w:rsidP="00A72C86">
            <w:pPr>
              <w:pStyle w:val="TableBullet"/>
              <w:numPr>
                <w:ilvl w:val="0"/>
                <w:numId w:val="0"/>
              </w:numPr>
              <w:jc w:val="both"/>
            </w:pPr>
            <w:r>
              <w:t>Level 4</w:t>
            </w:r>
          </w:p>
        </w:tc>
      </w:tr>
    </w:tbl>
    <w:p w:rsidR="00136C3A" w:rsidRDefault="00136C3A" w:rsidP="003927AE"/>
    <w:p w:rsidR="003927AE" w:rsidRDefault="003927AE" w:rsidP="003927AE">
      <w:pPr>
        <w:pStyle w:val="Heading1"/>
      </w:pPr>
      <w:r>
        <w:t>Complementary capabilities</w:t>
      </w:r>
    </w:p>
    <w:p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rsidR="002B5704" w:rsidRDefault="002B5704" w:rsidP="00A8064A">
            <w:pPr>
              <w:pStyle w:val="TableText"/>
              <w:keepNext/>
              <w:rPr>
                <w:b/>
              </w:rPr>
            </w:pPr>
          </w:p>
        </w:tc>
        <w:tc>
          <w:tcPr>
            <w:tcW w:w="4770" w:type="dxa"/>
            <w:tcBorders>
              <w:bottom w:val="single" w:sz="12" w:space="0" w:color="auto"/>
            </w:tcBorders>
            <w:shd w:val="clear" w:color="auto" w:fill="BCBEC0"/>
          </w:tcPr>
          <w:p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rsidR="002B5704" w:rsidRDefault="002B5704" w:rsidP="00A8064A">
            <w:pPr>
              <w:pStyle w:val="TableText"/>
              <w:keepNext/>
              <w:jc w:val="both"/>
              <w:rPr>
                <w:b/>
              </w:rPr>
            </w:pPr>
            <w:r>
              <w:rPr>
                <w:b/>
              </w:rPr>
              <w:t xml:space="preserve">Level </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descr="Personal Attribu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Display Resilience and Courage</w:t>
            </w:r>
          </w:p>
        </w:tc>
        <w:tc>
          <w:tcPr>
            <w:tcW w:w="4770" w:type="dxa"/>
            <w:tcBorders>
              <w:bottom w:val="single" w:sz="4" w:space="0" w:color="BCBEC0"/>
            </w:tcBorders>
          </w:tcPr>
          <w:p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Self</w:t>
            </w:r>
          </w:p>
        </w:tc>
        <w:tc>
          <w:tcPr>
            <w:tcW w:w="4770" w:type="dxa"/>
            <w:tcBorders>
              <w:bottom w:val="single" w:sz="4" w:space="0" w:color="BCBEC0"/>
            </w:tcBorders>
          </w:tcPr>
          <w:p w:rsidR="002B5704" w:rsidRDefault="002B5704" w:rsidP="002B5704">
            <w:r>
              <w:t>Show drive and motivation, an ability to self-reflect and a commitment to learning</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Value Diversity and Inclusion</w:t>
            </w:r>
          </w:p>
        </w:tc>
        <w:tc>
          <w:tcPr>
            <w:tcW w:w="4770" w:type="dxa"/>
            <w:tcBorders>
              <w:bottom w:val="single" w:sz="4" w:space="0" w:color="BCBEC0"/>
            </w:tcBorders>
          </w:tcPr>
          <w:p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Communicate Effectively</w:t>
            </w:r>
          </w:p>
        </w:tc>
        <w:tc>
          <w:tcPr>
            <w:tcW w:w="4770" w:type="dxa"/>
            <w:tcBorders>
              <w:bottom w:val="single" w:sz="4" w:space="0" w:color="BCBEC0"/>
            </w:tcBorders>
          </w:tcPr>
          <w:p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rsidR="002B5704" w:rsidRDefault="002B5704" w:rsidP="00A8064A">
            <w:pPr>
              <w:pStyle w:val="TableBullet"/>
              <w:numPr>
                <w:ilvl w:val="0"/>
                <w:numId w:val="0"/>
              </w:numPr>
              <w:jc w:val="both"/>
            </w:pPr>
            <w:r>
              <w:t>Advanced</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Work Collaboratively</w:t>
            </w:r>
          </w:p>
        </w:tc>
        <w:tc>
          <w:tcPr>
            <w:tcW w:w="4770" w:type="dxa"/>
            <w:tcBorders>
              <w:bottom w:val="single" w:sz="4" w:space="0" w:color="BCBEC0"/>
            </w:tcBorders>
          </w:tcPr>
          <w:p w:rsidR="002B5704" w:rsidRDefault="002B5704" w:rsidP="002B5704">
            <w:r>
              <w:t>Collaborate with others and value their contribution</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Plan and Prioritise</w:t>
            </w:r>
          </w:p>
        </w:tc>
        <w:tc>
          <w:tcPr>
            <w:tcW w:w="4770" w:type="dxa"/>
            <w:tcBorders>
              <w:bottom w:val="single" w:sz="4" w:space="0" w:color="BCBEC0"/>
            </w:tcBorders>
          </w:tcPr>
          <w:p w:rsidR="002B5704" w:rsidRPr="00AA57E3" w:rsidRDefault="002B5704" w:rsidP="002B5704">
            <w:r>
              <w:t>Plan to achieve priority outcomes and respond flexibly to changing circumstances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Demonstrate Accountability</w:t>
            </w:r>
          </w:p>
        </w:tc>
        <w:tc>
          <w:tcPr>
            <w:tcW w:w="4770" w:type="dxa"/>
            <w:tcBorders>
              <w:bottom w:val="single" w:sz="4" w:space="0" w:color="BCBEC0"/>
            </w:tcBorders>
          </w:tcPr>
          <w:p w:rsidR="002B5704" w:rsidRDefault="002B5704" w:rsidP="002B5704">
            <w:r>
              <w:t>Be proactive and responsible for own actions, and adhere to legislation, policy and guidelines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Finance</w:t>
            </w:r>
          </w:p>
        </w:tc>
        <w:tc>
          <w:tcPr>
            <w:tcW w:w="4770" w:type="dxa"/>
            <w:tcBorders>
              <w:bottom w:val="single" w:sz="4" w:space="0" w:color="BCBEC0"/>
            </w:tcBorders>
          </w:tcPr>
          <w:p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Technology</w:t>
            </w:r>
          </w:p>
        </w:tc>
        <w:tc>
          <w:tcPr>
            <w:tcW w:w="4770" w:type="dxa"/>
            <w:tcBorders>
              <w:bottom w:val="single" w:sz="4" w:space="0" w:color="BCBEC0"/>
            </w:tcBorders>
          </w:tcPr>
          <w:p w:rsidR="002B5704" w:rsidRDefault="002B5704" w:rsidP="002B5704">
            <w:r>
              <w:t>Understand and use available technologies to maximise efficiencies and effectiveness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Project Management</w:t>
            </w:r>
          </w:p>
        </w:tc>
        <w:tc>
          <w:tcPr>
            <w:tcW w:w="4770" w:type="dxa"/>
            <w:tcBorders>
              <w:bottom w:val="single" w:sz="4" w:space="0" w:color="BCBEC0"/>
            </w:tcBorders>
          </w:tcPr>
          <w:p w:rsidR="002B5704" w:rsidRDefault="002B5704" w:rsidP="002B5704">
            <w:r>
              <w:t>Understand and apply effective planning, coordination and control methods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r w:rsidRPr="00C978B9">
              <w:rPr>
                <w:noProof/>
                <w:lang w:eastAsia="en-AU"/>
              </w:rPr>
              <w:drawing>
                <wp:inline distT="0" distB="0" distL="0" distR="0" wp14:anchorId="0CDF20A6" wp14:editId="66F441DD">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rsidR="002B5704" w:rsidRPr="00AA57E3" w:rsidRDefault="002B5704" w:rsidP="00A8064A">
            <w:r>
              <w:t>Manage and Develop People</w:t>
            </w:r>
          </w:p>
        </w:tc>
        <w:tc>
          <w:tcPr>
            <w:tcW w:w="4770" w:type="dxa"/>
            <w:tcBorders>
              <w:bottom w:val="single" w:sz="4" w:space="0" w:color="BCBEC0"/>
            </w:tcBorders>
          </w:tcPr>
          <w:p w:rsidR="002B5704" w:rsidRPr="00AA57E3" w:rsidRDefault="002B5704" w:rsidP="002B5704">
            <w:r>
              <w:t>Engage and motivate staff, and develop capability and potential in others</w:t>
            </w:r>
          </w:p>
        </w:tc>
        <w:tc>
          <w:tcPr>
            <w:tcW w:w="1606" w:type="dxa"/>
            <w:tcBorders>
              <w:bottom w:val="single" w:sz="4" w:space="0" w:color="BCBEC0"/>
            </w:tcBorders>
          </w:tcPr>
          <w:p w:rsidR="002B5704" w:rsidRDefault="002B5704" w:rsidP="00A8064A">
            <w:pPr>
              <w:pStyle w:val="TableBullet"/>
              <w:numPr>
                <w:ilvl w:val="0"/>
                <w:numId w:val="0"/>
              </w:numPr>
              <w:jc w:val="both"/>
            </w:pPr>
            <w:r>
              <w:t>Adept</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Inspire Direction and Purpose</w:t>
            </w:r>
          </w:p>
        </w:tc>
        <w:tc>
          <w:tcPr>
            <w:tcW w:w="4770" w:type="dxa"/>
            <w:tcBorders>
              <w:bottom w:val="single" w:sz="4" w:space="0" w:color="BCBEC0"/>
            </w:tcBorders>
          </w:tcPr>
          <w:p w:rsidR="002B5704" w:rsidRDefault="002B5704" w:rsidP="002B5704">
            <w:r>
              <w:t>Communicate goals, priorities and vision, and recognise achievements</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Manage Reform and Change</w:t>
            </w:r>
          </w:p>
        </w:tc>
        <w:tc>
          <w:tcPr>
            <w:tcW w:w="4770" w:type="dxa"/>
            <w:tcBorders>
              <w:bottom w:val="single" w:sz="4" w:space="0" w:color="BCBEC0"/>
            </w:tcBorders>
          </w:tcPr>
          <w:p w:rsidR="002B5704" w:rsidRDefault="002B5704" w:rsidP="002B5704">
            <w:r>
              <w:t>Support, promote and champion change, and assist others to engage with change</w:t>
            </w:r>
          </w:p>
        </w:tc>
        <w:tc>
          <w:tcPr>
            <w:tcW w:w="1606" w:type="dxa"/>
            <w:tcBorders>
              <w:bottom w:val="single" w:sz="4" w:space="0" w:color="BCBEC0"/>
            </w:tcBorders>
          </w:tcPr>
          <w:p w:rsidR="002B5704" w:rsidRDefault="002B5704" w:rsidP="00A8064A">
            <w:pPr>
              <w:pStyle w:val="TableBullet"/>
              <w:numPr>
                <w:ilvl w:val="0"/>
                <w:numId w:val="0"/>
              </w:numPr>
              <w:jc w:val="both"/>
            </w:pPr>
            <w:r>
              <w:t>Intermediate</w:t>
            </w:r>
          </w:p>
        </w:tc>
      </w:tr>
      <w:tr w:rsidR="002B5704" w:rsidRPr="00C978B9" w:rsidTr="00A8064A">
        <w:tblPrEx>
          <w:tblBorders>
            <w:top w:val="single" w:sz="8" w:space="0" w:color="auto"/>
            <w:bottom w:val="single" w:sz="8" w:space="0" w:color="BCBEC0"/>
          </w:tblBorders>
        </w:tblPrEx>
        <w:tc>
          <w:tcPr>
            <w:tcW w:w="10753" w:type="dxa"/>
            <w:gridSpan w:val="5"/>
            <w:shd w:val="clear" w:color="auto" w:fill="6D276A"/>
          </w:tcPr>
          <w:p w:rsidR="002B5704" w:rsidRPr="008539FF" w:rsidRDefault="002B5704" w:rsidP="00A8064A">
            <w:pPr>
              <w:pStyle w:val="TableBullet"/>
              <w:numPr>
                <w:ilvl w:val="0"/>
                <w:numId w:val="0"/>
              </w:numPr>
              <w:spacing w:line="240" w:lineRule="auto"/>
              <w:jc w:val="both"/>
              <w:rPr>
                <w:b/>
                <w:bCs/>
                <w:noProof/>
                <w:color w:val="FF0000"/>
                <w:highlight w:val="yellow"/>
                <w:lang w:eastAsia="en-AU"/>
              </w:rPr>
            </w:pPr>
            <w:r w:rsidRPr="00AA598D">
              <w:rPr>
                <w:b/>
                <w:bCs/>
                <w:color w:val="FFFFFF" w:themeColor="background1"/>
                <w:sz w:val="24"/>
                <w:szCs w:val="24"/>
              </w:rPr>
              <w:t>Occupation specific capability set</w:t>
            </w:r>
          </w:p>
        </w:tc>
      </w:tr>
      <w:tr w:rsidR="002B5704" w:rsidRPr="00C978B9" w:rsidTr="00A8064A">
        <w:tc>
          <w:tcPr>
            <w:tcW w:w="1406" w:type="dxa"/>
            <w:vMerge w:val="restart"/>
            <w:tcBorders>
              <w:bottom w:val="single" w:sz="4" w:space="0" w:color="BCBEC0"/>
            </w:tcBorders>
          </w:tcPr>
          <w:p w:rsidR="002B5704" w:rsidRPr="00C978B9" w:rsidRDefault="002B5704" w:rsidP="00A8064A">
            <w:pPr>
              <w:keepNext/>
            </w:pPr>
            <w:bookmarkStart w:id="0" w:name="_GoBack"/>
            <w:r w:rsidRPr="00C978B9">
              <w:rPr>
                <w:noProof/>
                <w:lang w:eastAsia="en-AU"/>
              </w:rPr>
              <w:drawing>
                <wp:inline distT="0" distB="0" distL="0" distR="0" wp14:anchorId="1B4964A1" wp14:editId="69A63659">
                  <wp:extent cx="849122" cy="849122"/>
                  <wp:effectExtent l="0" t="0" r="8255" b="8255"/>
                  <wp:docPr id="6" name="procurement-capabilities.jpg" descr="Procur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49122" cy="849122"/>
                          </a:xfrm>
                          <a:prstGeom prst="rect">
                            <a:avLst/>
                          </a:prstGeom>
                          <a:noFill/>
                          <a:ln>
                            <a:noFill/>
                          </a:ln>
                        </pic:spPr>
                      </pic:pic>
                    </a:graphicData>
                  </a:graphic>
                </wp:inline>
              </w:drawing>
            </w:r>
            <w:bookmarkEnd w:id="0"/>
          </w:p>
        </w:tc>
        <w:tc>
          <w:tcPr>
            <w:tcW w:w="2971" w:type="dxa"/>
            <w:gridSpan w:val="2"/>
            <w:tcBorders>
              <w:bottom w:val="single" w:sz="4" w:space="0" w:color="BCBEC0"/>
            </w:tcBorders>
          </w:tcPr>
          <w:p w:rsidR="002B5704" w:rsidRPr="00AA57E3" w:rsidRDefault="002B5704" w:rsidP="00A8064A">
            <w:r>
              <w:t>Strategic Procurement Leadership</w:t>
            </w:r>
          </w:p>
        </w:tc>
        <w:tc>
          <w:tcPr>
            <w:tcW w:w="4770" w:type="dxa"/>
            <w:tcBorders>
              <w:bottom w:val="single" w:sz="4" w:space="0" w:color="BCBEC0"/>
            </w:tcBorders>
          </w:tcPr>
          <w:p w:rsidR="002B5704" w:rsidRPr="00AA57E3" w:rsidRDefault="002B5704" w:rsidP="002B5704">
            <w:r>
              <w:t>Lead the development of Procurement as a professional, strategic, value adding function enabling delivery of organisational business objectives and optimising procurement quality, productivity and performance outcomes</w:t>
            </w:r>
          </w:p>
        </w:tc>
        <w:tc>
          <w:tcPr>
            <w:tcW w:w="1606" w:type="dxa"/>
            <w:tcBorders>
              <w:bottom w:val="single" w:sz="4" w:space="0" w:color="BCBEC0"/>
            </w:tcBorders>
          </w:tcPr>
          <w:p w:rsidR="002B5704" w:rsidRDefault="002B5704" w:rsidP="00A8064A">
            <w:pPr>
              <w:pStyle w:val="TableBullet"/>
              <w:numPr>
                <w:ilvl w:val="0"/>
                <w:numId w:val="0"/>
              </w:numPr>
              <w:jc w:val="both"/>
            </w:pPr>
            <w:r>
              <w:t>Level 3</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Procurement Analysis</w:t>
            </w:r>
          </w:p>
        </w:tc>
        <w:tc>
          <w:tcPr>
            <w:tcW w:w="4770" w:type="dxa"/>
            <w:tcBorders>
              <w:bottom w:val="single" w:sz="4" w:space="0" w:color="BCBEC0"/>
            </w:tcBorders>
          </w:tcPr>
          <w:p w:rsidR="002B5704" w:rsidRDefault="002B5704" w:rsidP="002B5704">
            <w:r>
              <w:t>Gather and evaluate information on the market, business needs, categories, key suppliers, the supply chain and contextual factors to inform procurement decisions</w:t>
            </w:r>
          </w:p>
        </w:tc>
        <w:tc>
          <w:tcPr>
            <w:tcW w:w="1606" w:type="dxa"/>
            <w:tcBorders>
              <w:bottom w:val="single" w:sz="4" w:space="0" w:color="BCBEC0"/>
            </w:tcBorders>
          </w:tcPr>
          <w:p w:rsidR="002B5704" w:rsidRDefault="002B5704" w:rsidP="00A8064A">
            <w:pPr>
              <w:pStyle w:val="TableBullet"/>
              <w:numPr>
                <w:ilvl w:val="0"/>
                <w:numId w:val="0"/>
              </w:numPr>
              <w:jc w:val="both"/>
            </w:pPr>
            <w:r>
              <w:t>Level 3</w:t>
            </w:r>
          </w:p>
        </w:tc>
      </w:tr>
      <w:tr w:rsidR="002B5704" w:rsidRPr="00C978B9" w:rsidTr="00A8064A">
        <w:tc>
          <w:tcPr>
            <w:tcW w:w="1406" w:type="dxa"/>
            <w:vMerge/>
            <w:tcBorders>
              <w:bottom w:val="single" w:sz="4" w:space="0" w:color="BCBEC0"/>
            </w:tcBorders>
          </w:tcPr>
          <w:p w:rsidR="002B5704" w:rsidRDefault="002B5704" w:rsidP="00A8064A">
            <w:pPr>
              <w:keepNext/>
              <w:rPr>
                <w:noProof/>
                <w:lang w:eastAsia="en-AU"/>
              </w:rPr>
            </w:pPr>
          </w:p>
        </w:tc>
        <w:tc>
          <w:tcPr>
            <w:tcW w:w="2971" w:type="dxa"/>
            <w:gridSpan w:val="2"/>
            <w:tcBorders>
              <w:bottom w:val="single" w:sz="4" w:space="0" w:color="BCBEC0"/>
            </w:tcBorders>
          </w:tcPr>
          <w:p w:rsidR="002B5704" w:rsidRPr="00A8226F" w:rsidRDefault="002B5704" w:rsidP="00A8064A">
            <w:r>
              <w:t>Legislative and Policy Environment</w:t>
            </w:r>
          </w:p>
        </w:tc>
        <w:tc>
          <w:tcPr>
            <w:tcW w:w="4770" w:type="dxa"/>
            <w:tcBorders>
              <w:bottom w:val="single" w:sz="4" w:space="0" w:color="BCBEC0"/>
            </w:tcBorders>
          </w:tcPr>
          <w:p w:rsidR="002B5704" w:rsidRDefault="002B5704" w:rsidP="002B5704">
            <w:r>
              <w:t>Ensure that the planning, management and delivery of procurement outcomes is fully consistent with all relevant legislative, probity and policy requirements</w:t>
            </w:r>
          </w:p>
        </w:tc>
        <w:tc>
          <w:tcPr>
            <w:tcW w:w="1606" w:type="dxa"/>
            <w:tcBorders>
              <w:bottom w:val="single" w:sz="4" w:space="0" w:color="BCBEC0"/>
            </w:tcBorders>
          </w:tcPr>
          <w:p w:rsidR="002B5704" w:rsidRDefault="002B5704" w:rsidP="00A8064A">
            <w:pPr>
              <w:pStyle w:val="TableBullet"/>
              <w:numPr>
                <w:ilvl w:val="0"/>
                <w:numId w:val="0"/>
              </w:numPr>
              <w:jc w:val="both"/>
            </w:pPr>
            <w:r>
              <w:t>Level 3</w:t>
            </w:r>
          </w:p>
        </w:tc>
      </w:tr>
    </w:tbl>
    <w:p w:rsidR="004D15E4" w:rsidRPr="003927AE" w:rsidRDefault="004D15E4" w:rsidP="003927AE"/>
    <w:sectPr w:rsidR="004D15E4" w:rsidRPr="003927AE"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DBF" w:rsidRDefault="00D76DBF" w:rsidP="00BB532F">
      <w:pPr>
        <w:spacing w:after="0" w:line="240" w:lineRule="auto"/>
      </w:pPr>
      <w:r>
        <w:separator/>
      </w:r>
    </w:p>
  </w:endnote>
  <w:endnote w:type="continuationSeparator" w:id="0">
    <w:p w:rsidR="00D76DBF" w:rsidRDefault="00D76DB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rsidTr="00C03AFD">
      <w:tc>
        <w:tcPr>
          <w:tcW w:w="2250" w:type="pct"/>
          <w:vAlign w:val="center"/>
        </w:tcPr>
        <w:p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Manager Procurement</w:t>
          </w:r>
        </w:p>
      </w:tc>
      <w:tc>
        <w:tcPr>
          <w:tcW w:w="250" w:type="pct"/>
          <w:vAlign w:val="center"/>
        </w:tcPr>
        <w:p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rsidR="00C03AFD" w:rsidRDefault="00C03AFD" w:rsidP="00C03AFD">
          <w:pPr>
            <w:pStyle w:val="Footer"/>
            <w:jc w:val="right"/>
          </w:pPr>
        </w:p>
      </w:tc>
    </w:tr>
  </w:tbl>
  <w:p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rsidTr="0047547E">
      <w:trPr>
        <w:trHeight w:val="811"/>
      </w:trPr>
      <w:tc>
        <w:tcPr>
          <w:tcW w:w="10005" w:type="dxa"/>
          <w:vAlign w:val="bottom"/>
        </w:tcPr>
        <w:p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rsidR="00BB532F" w:rsidRDefault="00BB532F" w:rsidP="00BD7BA7">
          <w:pPr>
            <w:pStyle w:val="Footer"/>
            <w:jc w:val="right"/>
          </w:pPr>
        </w:p>
      </w:tc>
    </w:tr>
  </w:tbl>
  <w:p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DBF" w:rsidRDefault="00D76DBF" w:rsidP="00BB532F">
      <w:pPr>
        <w:spacing w:after="0" w:line="240" w:lineRule="auto"/>
      </w:pPr>
      <w:r>
        <w:separator/>
      </w:r>
    </w:p>
  </w:footnote>
  <w:footnote w:type="continuationSeparator" w:id="0">
    <w:p w:rsidR="00D76DBF" w:rsidRDefault="00D76DB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rsidTr="00894A73">
      <w:trPr>
        <w:trHeight w:val="813"/>
      </w:trPr>
      <w:tc>
        <w:tcPr>
          <w:tcW w:w="7082" w:type="dxa"/>
        </w:tcPr>
        <w:p w:rsidR="007E2FB7" w:rsidRDefault="007E2FB7" w:rsidP="001C2248">
          <w:pPr>
            <w:pStyle w:val="TitleSub"/>
            <w:spacing w:after="0"/>
            <w:rPr>
              <w:rFonts w:ascii="Arial" w:hAnsi="Arial" w:cs="Arial"/>
            </w:rPr>
          </w:pPr>
          <w:r w:rsidRPr="001E49B2">
            <w:rPr>
              <w:rFonts w:ascii="Arial" w:hAnsi="Arial" w:cs="Arial"/>
            </w:rPr>
            <w:t>Role Description</w:t>
          </w:r>
        </w:p>
        <w:p w:rsidR="00935EE2" w:rsidRPr="00935EE2" w:rsidRDefault="00935EE2" w:rsidP="001C2248">
          <w:pPr>
            <w:pStyle w:val="TitleSub"/>
            <w:spacing w:after="0"/>
            <w:rPr>
              <w:rFonts w:ascii="Arial" w:hAnsi="Arial" w:cs="Arial"/>
              <w:b/>
            </w:rPr>
          </w:pPr>
          <w:r w:rsidRPr="00935EE2">
            <w:rPr>
              <w:rFonts w:ascii="Arial" w:hAnsi="Arial" w:cs="Arial"/>
              <w:b/>
            </w:rPr>
            <w:t>Manager Procurement</w:t>
          </w:r>
        </w:p>
      </w:tc>
      <w:tc>
        <w:tcPr>
          <w:tcW w:w="3688" w:type="dxa"/>
        </w:tcPr>
        <w:p w:rsidR="000477E1" w:rsidRPr="000477E1" w:rsidRDefault="000477E1" w:rsidP="00030565">
          <w:pPr>
            <w:jc w:val="right"/>
          </w:pPr>
        </w:p>
      </w:tc>
    </w:tr>
  </w:tbl>
  <w:p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45542"/>
    <w:multiLevelType w:val="hybridMultilevel"/>
    <w:tmpl w:val="FE2C8DEA"/>
    <w:lvl w:ilvl="0" w:tplc="C2E2011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6A762A"/>
    <w:multiLevelType w:val="hybridMultilevel"/>
    <w:tmpl w:val="D82EF340"/>
    <w:lvl w:ilvl="0" w:tplc="C2E2011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AE3AC2"/>
    <w:multiLevelType w:val="hybridMultilevel"/>
    <w:tmpl w:val="C23CF274"/>
    <w:lvl w:ilvl="0" w:tplc="C2E2011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3583E0D"/>
    <w:multiLevelType w:val="hybridMultilevel"/>
    <w:tmpl w:val="518C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0"/>
  </w:num>
  <w:num w:numId="6">
    <w:abstractNumId w:val="0"/>
  </w:num>
  <w:num w:numId="7">
    <w:abstractNumId w:val="0"/>
  </w:num>
  <w:num w:numId="8">
    <w:abstractNumId w:val="0"/>
  </w:num>
  <w:num w:numId="9">
    <w:abstractNumId w:val="0"/>
  </w:num>
  <w:num w:numId="10">
    <w:abstractNumId w:val="7"/>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276"/>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A4183"/>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B58C0"/>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3B23"/>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8696F"/>
    <w:rsid w:val="0059035B"/>
    <w:rsid w:val="005A397B"/>
    <w:rsid w:val="005B10E1"/>
    <w:rsid w:val="005B5053"/>
    <w:rsid w:val="005C57F4"/>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25C2"/>
    <w:rsid w:val="007736B4"/>
    <w:rsid w:val="00773975"/>
    <w:rsid w:val="00776DCB"/>
    <w:rsid w:val="00780299"/>
    <w:rsid w:val="00781F0B"/>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36D30"/>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5D1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569"/>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10DA"/>
    <w:rsid w:val="00B72B4F"/>
    <w:rsid w:val="00B835C0"/>
    <w:rsid w:val="00B876AF"/>
    <w:rsid w:val="00B9055C"/>
    <w:rsid w:val="00BA759E"/>
    <w:rsid w:val="00BB12E9"/>
    <w:rsid w:val="00BB532F"/>
    <w:rsid w:val="00BC162D"/>
    <w:rsid w:val="00BC2FE4"/>
    <w:rsid w:val="00BD4DDA"/>
    <w:rsid w:val="00BE4EAE"/>
    <w:rsid w:val="00BE6E24"/>
    <w:rsid w:val="00BF1CCF"/>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02B21"/>
    <w:rsid w:val="00D312DA"/>
    <w:rsid w:val="00D351CC"/>
    <w:rsid w:val="00D42207"/>
    <w:rsid w:val="00D55E55"/>
    <w:rsid w:val="00D6084A"/>
    <w:rsid w:val="00D64165"/>
    <w:rsid w:val="00D663ED"/>
    <w:rsid w:val="00D66BB4"/>
    <w:rsid w:val="00D67A17"/>
    <w:rsid w:val="00D74882"/>
    <w:rsid w:val="00D759EE"/>
    <w:rsid w:val="00D75BAE"/>
    <w:rsid w:val="00D76DBF"/>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27D8"/>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03D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psc.nsw.gov.au/workforce-management/capability-framework/the-capability-framework" TargetMode="External" Id="rId9" /><Relationship Type="http://schemas.openxmlformats.org/officeDocument/2006/relationships/image" Target="media/image5.png" Id="rId14" /><Relationship Type="http://schemas.openxmlformats.org/officeDocument/2006/relationships/customXml" Target="/customXML/item3.xml" Id="R2ef2bdebceb64335" /></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8F43476EB784464BFCC994945052FE7" version="1.0.0">
  <systemFields>
    <field name="Objective-Id">
      <value order="0">A4688562</value>
    </field>
    <field name="Objective-Title">
      <value order="0">Manager-Procurement 311020 F</value>
    </field>
    <field name="Objective-Description">
      <value order="0"/>
    </field>
    <field name="Objective-CreationStamp">
      <value order="0">2020-07-03T02:49:41Z</value>
    </field>
    <field name="Objective-IsApproved">
      <value order="0">false</value>
    </field>
    <field name="Objective-IsPublished">
      <value order="0">false</value>
    </field>
    <field name="Objective-DatePublished">
      <value order="0"/>
    </field>
    <field name="Objective-ModificationStamp">
      <value order="0">2020-11-03T13:28:12Z</value>
    </field>
    <field name="Objective-Owner">
      <value order="0">Tej Chandrachar</value>
    </field>
    <field name="Objective-Path">
      <value order="0">Objective Global Folder:1. Public Service Commission (PSC):1. Public Service Commission File Plan (PSC):WORKFORCE PLANNING:ROLE DESCRIPTIONS:Sector Role Description Library 2020:RD Work in Progress:Procurement RDs</value>
    </field>
    <field name="Objective-Parent">
      <value order="0">Procurement RDs</value>
    </field>
    <field name="Objective-State">
      <value order="0">Being Drafted</value>
    </field>
    <field name="Objective-VersionId">
      <value order="0">vA8447467</value>
    </field>
    <field name="Objective-Version">
      <value order="0">1.7</value>
    </field>
    <field name="Objective-VersionNumber">
      <value order="0">8</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80C2FB4-B414-418F-9998-91D130F3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50</TotalTime>
  <Pages>9</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Margaret Heys</cp:lastModifiedBy>
  <cp:revision>10</cp:revision>
  <dcterms:created xsi:type="dcterms:W3CDTF">2020-07-03T03:49:00Z</dcterms:created>
  <dcterms:modified xsi:type="dcterms:W3CDTF">2020-11-03T13:28:00Z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A4688562</vt:lpwstr>
  </property>
  <property fmtid="{D5CDD505-2E9C-101B-9397-08002B2CF9AE}" pid="4" name="Objective-Title">
    <vt:lpwstr>Manager-Procurement 311020 F</vt:lpwstr>
  </property>
  <property fmtid="{D5CDD505-2E9C-101B-9397-08002B2CF9AE}" pid="5" name="Objective-Description">
    <vt:lpwstr/>
  </property>
  <property fmtid="{D5CDD505-2E9C-101B-9397-08002B2CF9AE}" pid="6" name="Objective-CreationStamp">
    <vt:filetime>2020-07-07T22:01:32Z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2020-11-03T13:28:12Z</vt:filetime>
  </property>
  <property fmtid="{D5CDD505-2E9C-101B-9397-08002B2CF9AE}" pid="11" name="Objective-Owner">
    <vt:lpwstr>Tej Chandrachar</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Progress:Procurement RDs:</vt:lpwstr>
  </property>
  <property fmtid="{D5CDD505-2E9C-101B-9397-08002B2CF9AE}" pid="13" name="Objective-Parent">
    <vt:lpwstr>Procurement RDs</vt:lpwstr>
  </property>
  <property fmtid="{D5CDD505-2E9C-101B-9397-08002B2CF9AE}" pid="14" name="Objective-State">
    <vt:lpwstr>Being Drafted</vt:lpwstr>
  </property>
  <property fmtid="{D5CDD505-2E9C-101B-9397-08002B2CF9AE}" pid="15" name="Objective-VersionId">
    <vt:lpwstr>vA8447467</vt:lpwstr>
  </property>
  <property fmtid="{D5CDD505-2E9C-101B-9397-08002B2CF9AE}" pid="16" name="Objective-Version">
    <vt:lpwstr>1.7</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ies>
</file>