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E7FE1"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8E7FE1" w:rsidRPr="00FC13A3" w:rsidRDefault="008E7FE1" w:rsidP="00C60D72">
            <w:pPr>
              <w:pStyle w:val="TableTextWhite"/>
              <w:rPr>
                <w:b/>
              </w:rPr>
            </w:pPr>
            <w:r>
              <w:rPr>
                <w:b/>
              </w:rPr>
              <w:t>Senior Executive Work Level Standards</w:t>
            </w:r>
          </w:p>
        </w:tc>
        <w:tc>
          <w:tcPr>
            <w:tcW w:w="6831" w:type="dxa"/>
          </w:tcPr>
          <w:p w:rsidR="008E7FE1" w:rsidRDefault="008E7FE1"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30 June 2020</w:t>
            </w:r>
          </w:p>
        </w:tc>
      </w:tr>
    </w:tbl>
    <w:p w:rsidR="003927AE" w:rsidRPr="00F47143" w:rsidRDefault="003927AE" w:rsidP="003927AE">
      <w:pPr>
        <w:tabs>
          <w:tab w:val="left" w:pos="2925"/>
        </w:tabs>
        <w:rPr>
          <w:rFonts w:ascii="Georgia" w:hAnsi="Georgia"/>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Science will lead overall work in relation to scientific strategy and direction, with particular focus on research, innovation, evidenced based practice, quality improvement and professional leadership to ensure the robust and high</w:t>
      </w:r>
      <w:r w:rsidR="008E7FE1">
        <w:t>-</w:t>
      </w:r>
      <w:r>
        <w:t>quality advice and scientific outcomes.</w:t>
      </w:r>
    </w:p>
    <w:p w:rsidR="003927AE" w:rsidRPr="00172DFE" w:rsidRDefault="003927AE" w:rsidP="00172DFE">
      <w:pPr>
        <w:tabs>
          <w:tab w:val="left" w:pos="2925"/>
        </w:tabs>
        <w:rPr>
          <w:rStyle w:val="Heading1Char"/>
        </w:rPr>
      </w:pPr>
      <w:r w:rsidRPr="00172DFE">
        <w:rPr>
          <w:rStyle w:val="Heading1Char"/>
        </w:rPr>
        <w:t>Key accountabilities</w:t>
      </w:r>
    </w:p>
    <w:p w:rsidR="005B68A8" w:rsidRPr="005B68A8" w:rsidRDefault="007E77DC" w:rsidP="005B68A8">
      <w:pPr>
        <w:pStyle w:val="ListParagraph"/>
        <w:numPr>
          <w:ilvl w:val="0"/>
          <w:numId w:val="11"/>
        </w:numPr>
        <w:tabs>
          <w:tab w:val="left" w:pos="2925"/>
        </w:tabs>
        <w:rPr>
          <w:rFonts w:cs="Arial"/>
        </w:rPr>
      </w:pPr>
      <w:r>
        <w:t>Develop and execute a scientific strategy, establish and promote standards of professional practice and ensure systems are in place for evaluating program effectiveness to deliver scientific-based outcomes which can be utilised, translated and/or commercialised for the benefit of industry/consumers/</w:t>
      </w:r>
      <w:r w:rsidR="005B68A8">
        <w:br/>
      </w:r>
      <w:r>
        <w:t>customers</w:t>
      </w:r>
    </w:p>
    <w:p w:rsidR="005B68A8" w:rsidRPr="005B68A8" w:rsidRDefault="007E77DC" w:rsidP="005B68A8">
      <w:pPr>
        <w:pStyle w:val="ListParagraph"/>
        <w:numPr>
          <w:ilvl w:val="0"/>
          <w:numId w:val="11"/>
        </w:numPr>
        <w:tabs>
          <w:tab w:val="left" w:pos="2925"/>
        </w:tabs>
        <w:rPr>
          <w:rFonts w:cs="Arial"/>
        </w:rPr>
      </w:pPr>
      <w:r>
        <w:t>Provide specialised scientific advice and expertise to key internal and external stakeholders, professional bodies and scientific committees to inform decision making</w:t>
      </w:r>
    </w:p>
    <w:p w:rsidR="005B68A8" w:rsidRPr="005B68A8" w:rsidRDefault="007E77DC" w:rsidP="005B68A8">
      <w:pPr>
        <w:pStyle w:val="ListParagraph"/>
        <w:numPr>
          <w:ilvl w:val="0"/>
          <w:numId w:val="11"/>
        </w:numPr>
        <w:tabs>
          <w:tab w:val="left" w:pos="2925"/>
        </w:tabs>
        <w:rPr>
          <w:rFonts w:cs="Arial"/>
        </w:rPr>
      </w:pPr>
      <w:r>
        <w:t>Identify emerging trends, issues and their implications to identify opportunities, and manage risks</w:t>
      </w:r>
    </w:p>
    <w:p w:rsidR="005B68A8" w:rsidRPr="005B68A8" w:rsidRDefault="007E77DC" w:rsidP="005B68A8">
      <w:pPr>
        <w:pStyle w:val="ListParagraph"/>
        <w:numPr>
          <w:ilvl w:val="0"/>
          <w:numId w:val="11"/>
        </w:numPr>
        <w:tabs>
          <w:tab w:val="left" w:pos="2925"/>
        </w:tabs>
        <w:rPr>
          <w:rFonts w:cs="Arial"/>
        </w:rPr>
      </w:pPr>
      <w:r>
        <w:t>Engage stakeholders and provide recommendations on appropriate scientific strategies and pathways, and openly and transparently raise ethical implications associated with scientific research practice, to ensure potential outcomes are fully understood</w:t>
      </w:r>
    </w:p>
    <w:p w:rsidR="005B68A8" w:rsidRPr="005B68A8" w:rsidRDefault="007E77DC" w:rsidP="005B68A8">
      <w:pPr>
        <w:pStyle w:val="ListParagraph"/>
        <w:numPr>
          <w:ilvl w:val="0"/>
          <w:numId w:val="11"/>
        </w:numPr>
        <w:tabs>
          <w:tab w:val="left" w:pos="2925"/>
        </w:tabs>
        <w:rPr>
          <w:rFonts w:cs="Arial"/>
        </w:rPr>
      </w:pPr>
      <w:r>
        <w:t>Lead and develop scientific programs and research to drive the development of practical initiatives and outcomes that benefit the broader community and the economy, in line with organisational priorities</w:t>
      </w:r>
    </w:p>
    <w:p w:rsidR="003927AE" w:rsidRPr="005B68A8" w:rsidRDefault="007E77DC" w:rsidP="005B68A8">
      <w:pPr>
        <w:pStyle w:val="ListParagraph"/>
        <w:numPr>
          <w:ilvl w:val="0"/>
          <w:numId w:val="11"/>
        </w:numPr>
        <w:tabs>
          <w:tab w:val="left" w:pos="2925"/>
        </w:tabs>
        <w:rPr>
          <w:rFonts w:cs="Arial"/>
        </w:rPr>
      </w:pPr>
      <w:r>
        <w:t>Establish and maintain collaborative relationships and networks with stakeholders including public and private sector funding bodies and State and Commonwealth agencies to capitalise on funding opportunities</w:t>
      </w:r>
    </w:p>
    <w:p w:rsidR="003927AE" w:rsidRPr="00614552" w:rsidRDefault="003927AE" w:rsidP="003927AE">
      <w:pPr>
        <w:tabs>
          <w:tab w:val="left" w:pos="2925"/>
        </w:tabs>
        <w:rPr>
          <w:rStyle w:val="Heading1Char"/>
        </w:rPr>
      </w:pPr>
      <w:r w:rsidRPr="00614552">
        <w:rPr>
          <w:rStyle w:val="Heading1Char"/>
        </w:rPr>
        <w:t>Key challenges</w:t>
      </w:r>
    </w:p>
    <w:p w:rsidR="005B68A8" w:rsidRPr="005B68A8" w:rsidRDefault="007E77DC" w:rsidP="005B68A8">
      <w:pPr>
        <w:pStyle w:val="ListParagraph"/>
        <w:numPr>
          <w:ilvl w:val="0"/>
          <w:numId w:val="11"/>
        </w:numPr>
        <w:tabs>
          <w:tab w:val="left" w:pos="2925"/>
        </w:tabs>
        <w:rPr>
          <w:rFonts w:ascii="Georgia" w:hAnsi="Georgia"/>
        </w:rPr>
      </w:pPr>
      <w:r>
        <w:t>Responding to urgent government and industry issues that take precedence over timetabled program milestones</w:t>
      </w:r>
    </w:p>
    <w:p w:rsidR="003927AE" w:rsidRPr="005B68A8" w:rsidRDefault="007E77DC" w:rsidP="005B68A8">
      <w:pPr>
        <w:pStyle w:val="ListParagraph"/>
        <w:numPr>
          <w:ilvl w:val="0"/>
          <w:numId w:val="11"/>
        </w:numPr>
        <w:tabs>
          <w:tab w:val="left" w:pos="2925"/>
        </w:tabs>
        <w:rPr>
          <w:rFonts w:ascii="Georgia" w:hAnsi="Georgia"/>
        </w:rPr>
      </w:pPr>
      <w:r>
        <w:t>Identifying opportunities, funding and support for scientific programs in an environment of political, industrial, social and financial sensitivities and constraints and enhanced competition for available funding</w:t>
      </w:r>
    </w:p>
    <w:p w:rsidR="0018785F" w:rsidRDefault="0018785F" w:rsidP="003927AE">
      <w:pPr>
        <w:tabs>
          <w:tab w:val="left" w:pos="2925"/>
        </w:tabs>
        <w:spacing w:line="240" w:lineRule="auto"/>
        <w:rPr>
          <w:rStyle w:val="Heading1Char"/>
        </w:rPr>
      </w:pPr>
    </w:p>
    <w:p w:rsidR="0018785F" w:rsidRDefault="0018785F" w:rsidP="003927AE">
      <w:pPr>
        <w:tabs>
          <w:tab w:val="left" w:pos="2925"/>
        </w:tabs>
        <w:spacing w:line="240" w:lineRule="auto"/>
        <w:rPr>
          <w:rStyle w:val="Heading1Char"/>
        </w:rPr>
      </w:pPr>
    </w:p>
    <w:p w:rsidR="0018785F" w:rsidRDefault="0018785F" w:rsidP="003927AE">
      <w:pPr>
        <w:tabs>
          <w:tab w:val="left" w:pos="2925"/>
        </w:tabs>
        <w:spacing w:line="240" w:lineRule="auto"/>
        <w:rPr>
          <w:rStyle w:val="Heading1Char"/>
        </w:rPr>
      </w:pPr>
    </w:p>
    <w:p w:rsidR="0018785F" w:rsidRDefault="0018785F" w:rsidP="003927AE">
      <w:pPr>
        <w:tabs>
          <w:tab w:val="left" w:pos="2925"/>
        </w:tabs>
        <w:spacing w:line="240" w:lineRule="auto"/>
        <w:rPr>
          <w:rStyle w:val="Heading1Char"/>
        </w:rPr>
      </w:pPr>
    </w:p>
    <w:p w:rsidR="0018785F" w:rsidRDefault="0018785F"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5B68A8" w:rsidRDefault="003927AE" w:rsidP="003927AE">
            <w:pPr>
              <w:pStyle w:val="TableText"/>
              <w:numPr>
                <w:ilvl w:val="0"/>
                <w:numId w:val="3"/>
              </w:numPr>
            </w:pPr>
            <w:r>
              <w:t>Provide expert advice, counsel and recommendations on scientific matters to influence organisational decisions, policy development and initiatives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Build relationships and provide expert scientific advice to impact decisions, support initiatives, clarify accountability and communicate performance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Ethics Committees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Act as a subject matter expert on scientific matter, providing advice, counsel and recommendations in relation to matters of, and implications for ethics to inform decision making</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5B68A8"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team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Peak State and National bodies/ Industry bodies/Academic institutions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Represent the Agency for consultation and negotiations on science grants and program issues, establish scientific partnerships and share insights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Funding bodies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Negotiate project funding, manage contracts and determine program objectives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Office of NSW Chief Scientist and Engineer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to ensure currency with central directions, and contributes to sector wide scientific strategies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with Directors, Science of other NSW Government agencies, and with similar agencies across other jurisdictions to maintain currency of issues, share ideas and learnings, and collaborate on common responses to emerging and/or developing issues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927AE"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3927AE" w:rsidP="003927AE">
      <w:pPr>
        <w:rPr>
          <w:rFonts w:cs="Arial"/>
          <w:szCs w:val="26"/>
        </w:rPr>
      </w:pPr>
      <w:r>
        <w:t>NA</w:t>
      </w:r>
    </w:p>
    <w:p w:rsidR="003927AE" w:rsidRPr="00614552" w:rsidRDefault="003927AE" w:rsidP="003927AE">
      <w:pPr>
        <w:pStyle w:val="Heading2"/>
      </w:pPr>
      <w:r w:rsidRPr="00614552">
        <w:t>Direct reports</w:t>
      </w:r>
    </w:p>
    <w:p w:rsidR="003927AE" w:rsidRPr="00603D53" w:rsidRDefault="003927AE" w:rsidP="003927AE">
      <w:pPr>
        <w:rPr>
          <w:rFonts w:cs="Arial"/>
          <w:szCs w:val="26"/>
        </w:rPr>
      </w:pPr>
      <w:r>
        <w:t>NA</w:t>
      </w:r>
    </w:p>
    <w:p w:rsidR="003927AE" w:rsidRPr="00614552" w:rsidRDefault="003927AE" w:rsidP="003927AE">
      <w:pPr>
        <w:pStyle w:val="Heading2"/>
      </w:pPr>
      <w:r w:rsidRPr="00614552">
        <w:t>Budget/Expenditure</w:t>
      </w:r>
    </w:p>
    <w:p w:rsidR="003927AE" w:rsidRDefault="003927AE" w:rsidP="003927AE">
      <w:pPr>
        <w:rPr>
          <w:rFonts w:cs="Arial"/>
          <w:szCs w:val="26"/>
        </w:rPr>
      </w:pPr>
      <w:r>
        <w:t>NA</w:t>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D20F03" w:rsidP="00DF2209">
            <w:pPr>
              <w:keepNext/>
            </w:pPr>
            <w:r w:rsidRPr="00C978B9">
              <w:rPr>
                <w:noProof/>
                <w:lang w:eastAsia="en-AU"/>
              </w:rPr>
              <w:drawing>
                <wp:inline distT="0" distB="0" distL="0" distR="0" wp14:anchorId="0E1B2960" wp14:editId="430EFE33">
                  <wp:extent cx="848995" cy="848995"/>
                  <wp:effectExtent l="0" t="0" r="8255" b="8255"/>
                  <wp:docPr id="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5B68A8" w:rsidRDefault="005B68A8">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5B68A8" w:rsidRPr="00803E47" w:rsidTr="00926D7F">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5B68A8" w:rsidRPr="00803E47" w:rsidRDefault="005B68A8" w:rsidP="00926D7F">
            <w:pPr>
              <w:pStyle w:val="TableTextWhite0"/>
              <w:keepNext/>
              <w:jc w:val="both"/>
            </w:pPr>
            <w:r w:rsidRPr="00051E80">
              <w:rPr>
                <w:sz w:val="24"/>
                <w:szCs w:val="24"/>
              </w:rPr>
              <w:lastRenderedPageBreak/>
              <w:t>FOCUS CAPABILITIES</w:t>
            </w:r>
          </w:p>
        </w:tc>
      </w:tr>
      <w:tr w:rsidR="005B68A8" w:rsidRPr="00C978B9" w:rsidTr="00926D7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5B68A8" w:rsidRPr="00C978B9" w:rsidRDefault="005B68A8" w:rsidP="00926D7F">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5B68A8" w:rsidRPr="00C978B9" w:rsidRDefault="005B68A8" w:rsidP="00926D7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5B68A8" w:rsidRDefault="005B68A8" w:rsidP="00926D7F">
            <w:pPr>
              <w:pStyle w:val="TableText"/>
              <w:keepNext/>
              <w:rPr>
                <w:b/>
              </w:rPr>
            </w:pPr>
          </w:p>
        </w:tc>
        <w:tc>
          <w:tcPr>
            <w:tcW w:w="4770" w:type="dxa"/>
            <w:tcBorders>
              <w:bottom w:val="single" w:sz="12" w:space="0" w:color="auto"/>
            </w:tcBorders>
            <w:shd w:val="clear" w:color="auto" w:fill="BCBEC0"/>
          </w:tcPr>
          <w:p w:rsidR="005B68A8" w:rsidRDefault="005B68A8" w:rsidP="00926D7F">
            <w:pPr>
              <w:pStyle w:val="TableText"/>
              <w:keepNext/>
              <w:rPr>
                <w:b/>
              </w:rPr>
            </w:pPr>
            <w:r>
              <w:rPr>
                <w:b/>
              </w:rPr>
              <w:t>Behavioural indicators</w:t>
            </w:r>
          </w:p>
        </w:tc>
        <w:tc>
          <w:tcPr>
            <w:tcW w:w="1606" w:type="dxa"/>
            <w:tcBorders>
              <w:bottom w:val="single" w:sz="12" w:space="0" w:color="auto"/>
            </w:tcBorders>
            <w:shd w:val="clear" w:color="auto" w:fill="BCBEC0"/>
          </w:tcPr>
          <w:p w:rsidR="005B68A8" w:rsidRDefault="005B68A8" w:rsidP="00926D7F">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D20F03" w:rsidP="00DF2209">
            <w:pPr>
              <w:keepNext/>
            </w:pPr>
            <w:r w:rsidRPr="00C978B9">
              <w:rPr>
                <w:noProof/>
                <w:lang w:eastAsia="en-AU"/>
              </w:rPr>
              <w:drawing>
                <wp:inline distT="0" distB="0" distL="0" distR="0" wp14:anchorId="7EB0996D" wp14:editId="57FADAC4">
                  <wp:extent cx="854016" cy="854016"/>
                  <wp:effectExtent l="0" t="0" r="3810" b="3810"/>
                  <wp:docPr id="12"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Work Collaboratively</w:t>
            </w:r>
          </w:p>
          <w:p w:rsidR="002D336D" w:rsidRPr="00AA57E3" w:rsidRDefault="002D336D" w:rsidP="00A72C86">
            <w:pPr>
              <w:pStyle w:val="TableText"/>
              <w:keepNext/>
            </w:pPr>
            <w:r>
              <w:t>Collaborate with others and value their contribution</w:t>
            </w:r>
          </w:p>
        </w:tc>
        <w:tc>
          <w:tcPr>
            <w:tcW w:w="4770" w:type="dxa"/>
            <w:tcBorders>
              <w:bottom w:val="single" w:sz="4" w:space="0" w:color="BCBEC0"/>
            </w:tcBorders>
          </w:tcPr>
          <w:p w:rsidR="002D336D" w:rsidRPr="00AA57E3" w:rsidRDefault="002D336D" w:rsidP="002D336D">
            <w:pPr>
              <w:pStyle w:val="TableBullet"/>
            </w:pPr>
            <w:r>
              <w:t>Establish a culture and supporting systems that facilitate information sharing, communication and learning across the sector</w:t>
            </w:r>
          </w:p>
          <w:p w:rsidR="002D336D" w:rsidRPr="00AA57E3" w:rsidRDefault="002D336D" w:rsidP="002D336D">
            <w:pPr>
              <w:pStyle w:val="TableBullet"/>
            </w:pPr>
            <w:r>
              <w:t>Publicly celebrate the successful outcomes of collaboration</w:t>
            </w:r>
          </w:p>
          <w:p w:rsidR="002D336D" w:rsidRPr="00AA57E3" w:rsidRDefault="002D336D" w:rsidP="002D336D">
            <w:pPr>
              <w:pStyle w:val="TableBullet"/>
            </w:pPr>
            <w:r>
              <w:t>Seek out and facilitate opportunities to engage and collaborate with stakeholders to develop solutions across the organisation, government and other jurisdictions</w:t>
            </w:r>
          </w:p>
          <w:p w:rsidR="002D336D" w:rsidRPr="00AA57E3" w:rsidRDefault="002D336D" w:rsidP="002D336D">
            <w:pPr>
              <w:pStyle w:val="TableBullet"/>
            </w:pPr>
            <w:r>
              <w:t>Identify and overcome barriers to collaboration with internal and external stakeholders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tcBorders>
              <w:bottom w:val="single" w:sz="4" w:space="0" w:color="BCBEC0"/>
            </w:tcBorders>
          </w:tcPr>
          <w:p w:rsidR="002D336D" w:rsidRPr="00C978B9" w:rsidRDefault="00D20F03" w:rsidP="00DF2209">
            <w:pPr>
              <w:keepNext/>
            </w:pPr>
            <w:r w:rsidRPr="00C978B9">
              <w:rPr>
                <w:noProof/>
                <w:lang w:eastAsia="en-AU"/>
              </w:rPr>
              <w:drawing>
                <wp:inline distT="0" distB="0" distL="0" distR="0" wp14:anchorId="133BAAFD" wp14:editId="731B54D1">
                  <wp:extent cx="854015" cy="854015"/>
                  <wp:effectExtent l="0" t="0" r="3810" b="3810"/>
                  <wp:docPr id="1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Progress organisational priorities and ensure 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5B68A8" w:rsidRDefault="005B68A8">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5B68A8" w:rsidRPr="00803E47" w:rsidTr="00926D7F">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5B68A8" w:rsidRPr="00803E47" w:rsidRDefault="005B68A8" w:rsidP="00926D7F">
            <w:pPr>
              <w:pStyle w:val="TableTextWhite0"/>
              <w:keepNext/>
              <w:jc w:val="both"/>
            </w:pPr>
            <w:r w:rsidRPr="00051E80">
              <w:rPr>
                <w:sz w:val="24"/>
                <w:szCs w:val="24"/>
              </w:rPr>
              <w:lastRenderedPageBreak/>
              <w:t>FOCUS CAPABILITIES</w:t>
            </w:r>
          </w:p>
        </w:tc>
      </w:tr>
      <w:tr w:rsidR="005B68A8" w:rsidRPr="00C978B9" w:rsidTr="00926D7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5B68A8" w:rsidRPr="00C978B9" w:rsidRDefault="005B68A8" w:rsidP="00926D7F">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5B68A8" w:rsidRPr="00C978B9" w:rsidRDefault="005B68A8" w:rsidP="00926D7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5B68A8" w:rsidRDefault="005B68A8" w:rsidP="00926D7F">
            <w:pPr>
              <w:pStyle w:val="TableText"/>
              <w:keepNext/>
              <w:rPr>
                <w:b/>
              </w:rPr>
            </w:pPr>
          </w:p>
        </w:tc>
        <w:tc>
          <w:tcPr>
            <w:tcW w:w="4770" w:type="dxa"/>
            <w:tcBorders>
              <w:bottom w:val="single" w:sz="12" w:space="0" w:color="auto"/>
            </w:tcBorders>
            <w:shd w:val="clear" w:color="auto" w:fill="BCBEC0"/>
          </w:tcPr>
          <w:p w:rsidR="005B68A8" w:rsidRDefault="005B68A8" w:rsidP="00926D7F">
            <w:pPr>
              <w:pStyle w:val="TableText"/>
              <w:keepNext/>
              <w:rPr>
                <w:b/>
              </w:rPr>
            </w:pPr>
            <w:r>
              <w:rPr>
                <w:b/>
              </w:rPr>
              <w:t>Behavioural indicators</w:t>
            </w:r>
          </w:p>
        </w:tc>
        <w:tc>
          <w:tcPr>
            <w:tcW w:w="1606" w:type="dxa"/>
            <w:tcBorders>
              <w:bottom w:val="single" w:sz="12" w:space="0" w:color="auto"/>
            </w:tcBorders>
            <w:shd w:val="clear" w:color="auto" w:fill="BCBEC0"/>
          </w:tcPr>
          <w:p w:rsidR="005B68A8" w:rsidRDefault="005B68A8" w:rsidP="00926D7F">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Establish and promote a culture that encourages innovation and initiative and emphasises the value of continuous improvement</w:t>
            </w:r>
          </w:p>
          <w:p w:rsidR="002D336D" w:rsidRDefault="002D336D" w:rsidP="002D336D">
            <w:pPr>
              <w:pStyle w:val="TableBullet"/>
            </w:pPr>
            <w:r>
              <w:t>Engage in high-level critical analysis of a wide range of complex information and formulate effective responses to critical policy issues</w:t>
            </w:r>
          </w:p>
          <w:p w:rsidR="002D336D" w:rsidRDefault="002D336D" w:rsidP="002D336D">
            <w:pPr>
              <w:pStyle w:val="TableBullet"/>
            </w:pPr>
            <w:r>
              <w:t>Identify and evaluate organisation-wide implications when considering proposed solutions to issues</w:t>
            </w:r>
          </w:p>
          <w:p w:rsidR="002D336D" w:rsidRDefault="002D336D" w:rsidP="002D336D">
            <w:pPr>
              <w:pStyle w:val="TableBullet"/>
            </w:pPr>
            <w:r>
              <w:t>Apply lateral thinking and develop innovative solutions that have a long-lasting, organisation-wide impact</w:t>
            </w:r>
          </w:p>
          <w:p w:rsidR="002D336D" w:rsidRDefault="002D336D" w:rsidP="002D336D">
            <w:pPr>
              <w:pStyle w:val="TableBullet"/>
            </w:pPr>
            <w:r>
              <w:t>Ensure effective governance systems are in place to guarantee quality analysis, research and reform</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D20F03" w:rsidP="00DF2209">
            <w:pPr>
              <w:keepNext/>
            </w:pPr>
            <w:r w:rsidRPr="00C978B9">
              <w:rPr>
                <w:noProof/>
                <w:lang w:eastAsia="en-AU"/>
              </w:rPr>
              <w:drawing>
                <wp:inline distT="0" distB="0" distL="0" distR="0" wp14:anchorId="57B47E0F" wp14:editId="4254F04C">
                  <wp:extent cx="845388" cy="845388"/>
                  <wp:effectExtent l="0" t="0" r="0" b="0"/>
                  <wp:docPr id="1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Technology</w:t>
            </w:r>
          </w:p>
          <w:p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rsidR="002D336D" w:rsidRPr="00AA57E3" w:rsidRDefault="002D336D" w:rsidP="002D336D">
            <w:pPr>
              <w:pStyle w:val="TableBullet"/>
            </w:pPr>
            <w:r>
              <w:t>Champion the use of innovative technologies in the workplace</w:t>
            </w:r>
          </w:p>
          <w:p w:rsidR="002D336D" w:rsidRPr="00AA57E3" w:rsidRDefault="002D336D" w:rsidP="002D336D">
            <w:pPr>
              <w:pStyle w:val="TableBullet"/>
            </w:pPr>
            <w:r>
              <w:t>Actively manage risk to ensure compliance with cyber security and acceptable use of technology policies</w:t>
            </w:r>
          </w:p>
          <w:p w:rsidR="002D336D" w:rsidRPr="00AA57E3" w:rsidRDefault="002D336D" w:rsidP="002D336D">
            <w:pPr>
              <w:pStyle w:val="TableBullet"/>
            </w:pPr>
            <w:r>
              <w:t>Keep up to date with emerging technologies and technology trends to understand how their application can support business outcomes</w:t>
            </w:r>
          </w:p>
          <w:p w:rsidR="002D336D" w:rsidRPr="00AA57E3" w:rsidRDefault="002D336D" w:rsidP="002D336D">
            <w:pPr>
              <w:pStyle w:val="TableBullet"/>
            </w:pPr>
            <w:r>
              <w:t>Seek advice from appropriate subject-matter experts on using technologies to achieve business strategies and outcomes</w:t>
            </w:r>
          </w:p>
          <w:p w:rsidR="002D336D" w:rsidRPr="00AA57E3" w:rsidRDefault="002D336D" w:rsidP="002D336D">
            <w:pPr>
              <w:pStyle w:val="TableBullet"/>
            </w:pPr>
            <w:r>
              <w:t>Actively manage risk of breaches to appropriate records, information and knowledge management systems, protocols and policies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Project Management</w:t>
            </w:r>
          </w:p>
          <w:p w:rsidR="002D336D" w:rsidRPr="00A8226F" w:rsidRDefault="000411F6" w:rsidP="000411F6">
            <w:pPr>
              <w:pStyle w:val="TableText"/>
              <w:keepNext/>
              <w:rPr>
                <w:b/>
              </w:rPr>
            </w:pPr>
            <w:r>
              <w:t>Understand and apply effective planning, coordination and control methods</w:t>
            </w:r>
          </w:p>
        </w:tc>
        <w:tc>
          <w:tcPr>
            <w:tcW w:w="4770" w:type="dxa"/>
            <w:tcBorders>
              <w:bottom w:val="single" w:sz="4" w:space="0" w:color="BCBEC0"/>
            </w:tcBorders>
          </w:tcPr>
          <w:p w:rsidR="002D336D" w:rsidRDefault="002D336D" w:rsidP="002D336D">
            <w:pPr>
              <w:pStyle w:val="TableBullet"/>
            </w:pPr>
            <w:r>
              <w:t>Understand all components of the project management process, including the need to consider change management to realise business benefits</w:t>
            </w:r>
          </w:p>
          <w:p w:rsidR="002D336D" w:rsidRDefault="002D336D" w:rsidP="002D336D">
            <w:pPr>
              <w:pStyle w:val="TableBullet"/>
            </w:pPr>
            <w:r>
              <w:t>Prepare clear project proposals and accurate estimates of required costs and resources</w:t>
            </w:r>
          </w:p>
          <w:p w:rsidR="002D336D" w:rsidRDefault="002D336D" w:rsidP="002D336D">
            <w:pPr>
              <w:pStyle w:val="TableBullet"/>
            </w:pPr>
            <w:r>
              <w:t>Establish performance outcomes and measures for key project goals, and define monitoring, reporting and communication requirements</w:t>
            </w:r>
          </w:p>
          <w:p w:rsidR="002D336D" w:rsidRDefault="002D336D" w:rsidP="002D336D">
            <w:pPr>
              <w:pStyle w:val="TableBullet"/>
            </w:pPr>
            <w:r>
              <w:t>Identify and evaluate risks associated with the project and develop mitigation strategies</w:t>
            </w:r>
          </w:p>
          <w:p w:rsidR="002D336D" w:rsidRDefault="002D336D" w:rsidP="002D336D">
            <w:pPr>
              <w:pStyle w:val="TableBullet"/>
            </w:pPr>
            <w:r>
              <w:t>Identify and consult stakeholders to inform the project strategy</w:t>
            </w:r>
          </w:p>
          <w:p w:rsidR="002D336D" w:rsidRDefault="002D336D" w:rsidP="002D336D">
            <w:pPr>
              <w:pStyle w:val="TableBullet"/>
            </w:pPr>
            <w:r>
              <w:t>Communicate the project’s objectives and its expected benefits</w:t>
            </w:r>
          </w:p>
          <w:p w:rsidR="002D336D" w:rsidRDefault="002D336D" w:rsidP="002D336D">
            <w:pPr>
              <w:pStyle w:val="TableBullet"/>
            </w:pPr>
            <w:r>
              <w:t>Monitor the completion of project milestones against goals and take necessary action</w:t>
            </w:r>
          </w:p>
          <w:p w:rsidR="002D336D" w:rsidRDefault="002D336D" w:rsidP="002D336D">
            <w:pPr>
              <w:pStyle w:val="TableBullet"/>
            </w:pPr>
            <w:r>
              <w:t xml:space="preserve">Evaluate progress and identify improvements to </w:t>
            </w:r>
            <w:r>
              <w:lastRenderedPageBreak/>
              <w:t>inform future projects</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Adept</w:t>
            </w:r>
          </w:p>
        </w:tc>
      </w:tr>
      <w:tr w:rsidR="002D336D" w:rsidRPr="00C978B9" w:rsidTr="00E565B9">
        <w:tc>
          <w:tcPr>
            <w:tcW w:w="1406" w:type="dxa"/>
            <w:vMerge w:val="restart"/>
            <w:tcBorders>
              <w:bottom w:val="single" w:sz="4" w:space="0" w:color="BCBEC0"/>
            </w:tcBorders>
          </w:tcPr>
          <w:p w:rsidR="002D336D" w:rsidRPr="00C978B9" w:rsidRDefault="00D20F03" w:rsidP="00DF2209">
            <w:pPr>
              <w:keepNext/>
            </w:pPr>
            <w:r w:rsidRPr="00C978B9">
              <w:rPr>
                <w:noProof/>
                <w:lang w:eastAsia="en-AU"/>
              </w:rPr>
              <w:drawing>
                <wp:inline distT="0" distB="0" distL="0" distR="0" wp14:anchorId="4BB79BBA" wp14:editId="5DDE0AA8">
                  <wp:extent cx="847725" cy="847725"/>
                  <wp:effectExtent l="0" t="0" r="9525" b="9525"/>
                  <wp:docPr id="17"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Inspire Direction and Purpose</w:t>
            </w:r>
          </w:p>
          <w:p w:rsidR="002D336D" w:rsidRPr="00AA57E3" w:rsidRDefault="002D336D" w:rsidP="00A72C86">
            <w:pPr>
              <w:pStyle w:val="TableText"/>
              <w:keepNext/>
            </w:pPr>
            <w:r>
              <w:t>Communicate goals, priorities and vision, and recognise achievements</w:t>
            </w:r>
          </w:p>
        </w:tc>
        <w:tc>
          <w:tcPr>
            <w:tcW w:w="4770" w:type="dxa"/>
            <w:tcBorders>
              <w:bottom w:val="single" w:sz="4" w:space="0" w:color="BCBEC0"/>
            </w:tcBorders>
          </w:tcPr>
          <w:p w:rsidR="002D336D" w:rsidRPr="00AA57E3" w:rsidRDefault="002D336D" w:rsidP="002D336D">
            <w:pPr>
              <w:pStyle w:val="TableBullet"/>
            </w:pPr>
            <w:r>
              <w:t>Promote a sense of purpose, and help the team to understand the strategic direction of the organisation and the needs of customers and stakeholders</w:t>
            </w:r>
          </w:p>
          <w:p w:rsidR="002D336D" w:rsidRPr="00AA57E3" w:rsidRDefault="002D336D" w:rsidP="002D336D">
            <w:pPr>
              <w:pStyle w:val="TableBullet"/>
            </w:pPr>
            <w:r>
              <w:t>Translate broad organisational strategy and goals into tangible team goals and explain the links for the team</w:t>
            </w:r>
          </w:p>
          <w:p w:rsidR="002D336D" w:rsidRPr="00AA57E3" w:rsidRDefault="002D336D" w:rsidP="002D336D">
            <w:pPr>
              <w:pStyle w:val="TableBullet"/>
            </w:pPr>
            <w:r>
              <w:t>Ensure that team objectives and outcomes lead to the implementation of government priorities and create value for customers and stakeholders</w:t>
            </w:r>
          </w:p>
          <w:p w:rsidR="002D336D" w:rsidRPr="00AA57E3" w:rsidRDefault="002D336D" w:rsidP="002D336D">
            <w:pPr>
              <w:pStyle w:val="TableBullet"/>
            </w:pPr>
            <w:r>
              <w:t>Work to remove barriers to achieving goals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Commit to Customer Service</w:t>
            </w:r>
          </w:p>
        </w:tc>
        <w:tc>
          <w:tcPr>
            <w:tcW w:w="4770" w:type="dxa"/>
            <w:tcBorders>
              <w:bottom w:val="single" w:sz="4" w:space="0" w:color="BCBEC0"/>
            </w:tcBorders>
          </w:tcPr>
          <w:p w:rsidR="002B5704"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5B68A8" w:rsidRDefault="005B68A8">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5B68A8" w:rsidRPr="00803E47" w:rsidTr="00926D7F">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5B68A8" w:rsidRPr="00803E47" w:rsidRDefault="005B68A8" w:rsidP="00926D7F">
            <w:pPr>
              <w:pStyle w:val="TableTextWhite0"/>
              <w:keepNext/>
              <w:jc w:val="both"/>
            </w:pPr>
            <w:r>
              <w:rPr>
                <w:sz w:val="24"/>
                <w:szCs w:val="24"/>
              </w:rPr>
              <w:lastRenderedPageBreak/>
              <w:t>COMPLEMENTARY</w:t>
            </w:r>
            <w:r w:rsidRPr="00051E80">
              <w:rPr>
                <w:sz w:val="24"/>
                <w:szCs w:val="24"/>
              </w:rPr>
              <w:t xml:space="preserve"> CAPABILITIES</w:t>
            </w:r>
          </w:p>
        </w:tc>
      </w:tr>
      <w:tr w:rsidR="005B68A8" w:rsidRPr="00C978B9" w:rsidTr="00926D7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5B68A8" w:rsidRPr="00C978B9" w:rsidRDefault="005B68A8" w:rsidP="00926D7F">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5B68A8" w:rsidRPr="00C978B9" w:rsidRDefault="005B68A8" w:rsidP="00926D7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5B68A8" w:rsidRDefault="005B68A8" w:rsidP="00926D7F">
            <w:pPr>
              <w:pStyle w:val="TableText"/>
              <w:keepNext/>
              <w:rPr>
                <w:b/>
              </w:rPr>
            </w:pPr>
          </w:p>
        </w:tc>
        <w:tc>
          <w:tcPr>
            <w:tcW w:w="4770" w:type="dxa"/>
            <w:tcBorders>
              <w:bottom w:val="single" w:sz="12" w:space="0" w:color="auto"/>
            </w:tcBorders>
            <w:shd w:val="clear" w:color="auto" w:fill="BCBEC0"/>
          </w:tcPr>
          <w:p w:rsidR="005B68A8" w:rsidRDefault="005B68A8" w:rsidP="00926D7F">
            <w:pPr>
              <w:pStyle w:val="TableText"/>
              <w:keepNext/>
              <w:rPr>
                <w:b/>
              </w:rPr>
            </w:pPr>
            <w:r>
              <w:rPr>
                <w:b/>
              </w:rPr>
              <w:t>Description</w:t>
            </w:r>
          </w:p>
        </w:tc>
        <w:tc>
          <w:tcPr>
            <w:tcW w:w="1606" w:type="dxa"/>
            <w:tcBorders>
              <w:bottom w:val="single" w:sz="12" w:space="0" w:color="auto"/>
            </w:tcBorders>
            <w:shd w:val="clear" w:color="auto" w:fill="BCBEC0"/>
          </w:tcPr>
          <w:p w:rsidR="005B68A8" w:rsidRDefault="005B68A8" w:rsidP="00926D7F">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84D" w:rsidRDefault="00AA184D" w:rsidP="00BB532F">
      <w:pPr>
        <w:spacing w:after="0" w:line="240" w:lineRule="auto"/>
      </w:pPr>
      <w:r>
        <w:separator/>
      </w:r>
    </w:p>
  </w:endnote>
  <w:endnote w:type="continuationSeparator" w:id="0">
    <w:p w:rsidR="00AA184D" w:rsidRDefault="00AA184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Science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84D" w:rsidRDefault="00AA184D" w:rsidP="00BB532F">
      <w:pPr>
        <w:spacing w:after="0" w:line="240" w:lineRule="auto"/>
      </w:pPr>
      <w:r>
        <w:separator/>
      </w:r>
    </w:p>
  </w:footnote>
  <w:footnote w:type="continuationSeparator" w:id="0">
    <w:p w:rsidR="00AA184D" w:rsidRDefault="00AA184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Science</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A8532C"/>
    <w:multiLevelType w:val="hybridMultilevel"/>
    <w:tmpl w:val="EB0A9452"/>
    <w:lvl w:ilvl="0" w:tplc="60E6B50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814A0"/>
    <w:multiLevelType w:val="hybridMultilevel"/>
    <w:tmpl w:val="2D0EDA44"/>
    <w:lvl w:ilvl="0" w:tplc="60E6B50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871FDB"/>
    <w:multiLevelType w:val="hybridMultilevel"/>
    <w:tmpl w:val="8434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0"/>
  </w:num>
  <w:num w:numId="6">
    <w:abstractNumId w:val="0"/>
  </w:num>
  <w:num w:numId="7">
    <w:abstractNumId w:val="0"/>
  </w:num>
  <w:num w:numId="8">
    <w:abstractNumId w:val="0"/>
  </w:num>
  <w:num w:numId="9">
    <w:abstractNumId w:val="0"/>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3F00"/>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8785F"/>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225C"/>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414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71358"/>
    <w:rsid w:val="0059035B"/>
    <w:rsid w:val="005A397B"/>
    <w:rsid w:val="005B10E1"/>
    <w:rsid w:val="005B5053"/>
    <w:rsid w:val="005B68A8"/>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E7FE1"/>
    <w:rsid w:val="008F23E9"/>
    <w:rsid w:val="00902EC0"/>
    <w:rsid w:val="009077E2"/>
    <w:rsid w:val="00910F45"/>
    <w:rsid w:val="00911725"/>
    <w:rsid w:val="00917873"/>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184D"/>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6473D"/>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20F03"/>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891f82bc106c44cf"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A4685976</value>
    </field>
    <field name="Objective-Title">
      <value order="0">Executive - Director, Science 301020 F</value>
    </field>
    <field name="Objective-Description">
      <value order="0"/>
    </field>
    <field name="Objective-CreationStamp">
      <value order="0">2020-06-30T05:59:37Z</value>
    </field>
    <field name="Objective-IsApproved">
      <value order="0">false</value>
    </field>
    <field name="Objective-IsPublished">
      <value order="0">false</value>
    </field>
    <field name="Objective-DatePublished">
      <value order="0"/>
    </field>
    <field name="Objective-ModificationStamp">
      <value order="0">2020-11-02T00:02:08Z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vA8444038</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18029DA-FE63-42B1-B990-87F63414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35</TotalTime>
  <Pages>7</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7</cp:revision>
  <dcterms:created xsi:type="dcterms:W3CDTF">2020-06-30T06:59:00Z</dcterms:created>
  <dcterms:modified xsi:type="dcterms:W3CDTF">2020-11-02T00:01:00Z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A4685976</vt:lpwstr>
  </property>
  <property fmtid="{D5CDD505-2E9C-101B-9397-08002B2CF9AE}" pid="4" name="Objective-Title">
    <vt:lpwstr>Executive - Director, Science 301020 F</vt:lpwstr>
  </property>
  <property fmtid="{D5CDD505-2E9C-101B-9397-08002B2CF9AE}" pid="5" name="Objective-Description">
    <vt:lpwstr/>
  </property>
  <property fmtid="{D5CDD505-2E9C-101B-9397-08002B2CF9AE}" pid="6" name="Objective-CreationStamp">
    <vt:filetime>2020-07-03T03:53:12Z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2020-11-02T00:02:08Z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vA8444038</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