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661824"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661824" w:rsidRPr="00FC13A3" w:rsidRDefault="00661824" w:rsidP="00C60D72">
            <w:pPr>
              <w:pStyle w:val="TableTextWhite"/>
              <w:rPr>
                <w:b/>
              </w:rPr>
            </w:pPr>
            <w:r>
              <w:rPr>
                <w:b/>
              </w:rPr>
              <w:t>Senior Executive Work Level Standards</w:t>
            </w:r>
          </w:p>
        </w:tc>
        <w:tc>
          <w:tcPr>
            <w:tcW w:w="6831" w:type="dxa"/>
          </w:tcPr>
          <w:p w:rsidR="00661824" w:rsidRDefault="00661824"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01 July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Risk Management leads the investigation, analysis and assessment of risk, and the design and implementation of strategies and processes which mitigate threats to the successful delivery of the organisation's corporate and business plans, and desired outcomes.</w:t>
      </w:r>
    </w:p>
    <w:p w:rsidR="003927AE" w:rsidRPr="00172DFE" w:rsidRDefault="003927AE" w:rsidP="00172DFE">
      <w:pPr>
        <w:tabs>
          <w:tab w:val="left" w:pos="2925"/>
        </w:tabs>
        <w:rPr>
          <w:rStyle w:val="Heading1Char"/>
        </w:rPr>
      </w:pPr>
      <w:r w:rsidRPr="00172DFE">
        <w:rPr>
          <w:rStyle w:val="Heading1Char"/>
        </w:rPr>
        <w:t>Key accountabilities</w:t>
      </w:r>
    </w:p>
    <w:p w:rsidR="00661824" w:rsidRPr="00661824" w:rsidRDefault="007E77DC" w:rsidP="00661824">
      <w:pPr>
        <w:pStyle w:val="ListParagraph"/>
        <w:numPr>
          <w:ilvl w:val="0"/>
          <w:numId w:val="11"/>
        </w:numPr>
        <w:tabs>
          <w:tab w:val="left" w:pos="2925"/>
        </w:tabs>
        <w:rPr>
          <w:rFonts w:cs="Arial"/>
        </w:rPr>
      </w:pPr>
      <w:r>
        <w:t>Develop and implement the Agency's risk management plan and strategy, communicate expectations and obligations through Senior Executives and managers, and monitor and report on performance to improve the Agency's risk profile</w:t>
      </w:r>
    </w:p>
    <w:p w:rsidR="00661824" w:rsidRPr="00661824" w:rsidRDefault="007E77DC" w:rsidP="00661824">
      <w:pPr>
        <w:pStyle w:val="ListParagraph"/>
        <w:numPr>
          <w:ilvl w:val="0"/>
          <w:numId w:val="11"/>
        </w:numPr>
        <w:tabs>
          <w:tab w:val="left" w:pos="2925"/>
        </w:tabs>
        <w:rPr>
          <w:rFonts w:cs="Arial"/>
        </w:rPr>
      </w:pPr>
      <w:r>
        <w:t>Identify and detect potential threats to brand reputation, financial sustainability, operational efficiency, workforce investments and safety to fully develop a shared understanding for the Agency’s risk exposure</w:t>
      </w:r>
    </w:p>
    <w:p w:rsidR="00661824" w:rsidRPr="00661824" w:rsidRDefault="007E77DC" w:rsidP="00661824">
      <w:pPr>
        <w:pStyle w:val="ListParagraph"/>
        <w:numPr>
          <w:ilvl w:val="0"/>
          <w:numId w:val="11"/>
        </w:numPr>
        <w:tabs>
          <w:tab w:val="left" w:pos="2925"/>
        </w:tabs>
        <w:rPr>
          <w:rFonts w:cs="Arial"/>
        </w:rPr>
      </w:pPr>
      <w:r>
        <w:t>Conduct or oversee the conduct of regular risk assessments and preparation of all documentation related to risk assessment, and reviews of standard operating procedures ensuring that recommended improvements are fully implemented</w:t>
      </w:r>
    </w:p>
    <w:p w:rsidR="00661824" w:rsidRPr="00661824" w:rsidRDefault="007E77DC" w:rsidP="00661824">
      <w:pPr>
        <w:pStyle w:val="ListParagraph"/>
        <w:numPr>
          <w:ilvl w:val="0"/>
          <w:numId w:val="11"/>
        </w:numPr>
        <w:tabs>
          <w:tab w:val="left" w:pos="2925"/>
        </w:tabs>
        <w:rPr>
          <w:rFonts w:cs="Arial"/>
        </w:rPr>
      </w:pPr>
      <w:r>
        <w:t>Deliver regular risk analysis reports to the Agency Head/Secretary and Senior Executives, complete with actionable plans for avoidance or prevention of possible threats at all levels</w:t>
      </w:r>
    </w:p>
    <w:p w:rsidR="00661824" w:rsidRPr="00661824" w:rsidRDefault="007E77DC" w:rsidP="00661824">
      <w:pPr>
        <w:pStyle w:val="ListParagraph"/>
        <w:numPr>
          <w:ilvl w:val="0"/>
          <w:numId w:val="11"/>
        </w:numPr>
        <w:tabs>
          <w:tab w:val="left" w:pos="2925"/>
        </w:tabs>
        <w:rPr>
          <w:rFonts w:cs="Arial"/>
        </w:rPr>
      </w:pPr>
      <w:r>
        <w:t>Lead implementation of programs designed to anticipate and to minimise threats to the Agency</w:t>
      </w:r>
    </w:p>
    <w:p w:rsidR="003927AE" w:rsidRPr="00661824" w:rsidRDefault="007E77DC" w:rsidP="00661824">
      <w:pPr>
        <w:pStyle w:val="ListParagraph"/>
        <w:numPr>
          <w:ilvl w:val="0"/>
          <w:numId w:val="11"/>
        </w:numPr>
        <w:tabs>
          <w:tab w:val="left" w:pos="2925"/>
        </w:tabs>
        <w:rPr>
          <w:rFonts w:cs="Arial"/>
        </w:rPr>
      </w:pPr>
      <w:r>
        <w:t>Develop and implement insurance strategies and financing techniques to appropriately deal with any unanticipated losses</w:t>
      </w:r>
    </w:p>
    <w:p w:rsidR="003927AE" w:rsidRPr="00614552" w:rsidRDefault="003927AE" w:rsidP="003927AE">
      <w:pPr>
        <w:tabs>
          <w:tab w:val="left" w:pos="2925"/>
        </w:tabs>
        <w:rPr>
          <w:rStyle w:val="Heading1Char"/>
        </w:rPr>
      </w:pPr>
      <w:r w:rsidRPr="00614552">
        <w:rPr>
          <w:rStyle w:val="Heading1Char"/>
        </w:rPr>
        <w:t>Key challenges</w:t>
      </w:r>
    </w:p>
    <w:p w:rsidR="00661824" w:rsidRPr="00661824" w:rsidRDefault="007E77DC" w:rsidP="00661824">
      <w:pPr>
        <w:pStyle w:val="ListParagraph"/>
        <w:numPr>
          <w:ilvl w:val="0"/>
          <w:numId w:val="11"/>
        </w:numPr>
        <w:tabs>
          <w:tab w:val="left" w:pos="2925"/>
        </w:tabs>
        <w:rPr>
          <w:rFonts w:ascii="Georgia" w:hAnsi="Georgia"/>
        </w:rPr>
      </w:pPr>
      <w:r>
        <w:t>Driving a greater understanding and appreciation of risk, and the implications of failure to respond appropriately to threats as they emerge, in a context where disciplines around risk management are still evolving to an appropriate level of sophistication</w:t>
      </w:r>
    </w:p>
    <w:p w:rsidR="003927AE" w:rsidRPr="00661824" w:rsidRDefault="007E77DC" w:rsidP="00661824">
      <w:pPr>
        <w:pStyle w:val="ListParagraph"/>
        <w:numPr>
          <w:ilvl w:val="0"/>
          <w:numId w:val="11"/>
        </w:numPr>
        <w:tabs>
          <w:tab w:val="left" w:pos="2925"/>
        </w:tabs>
        <w:rPr>
          <w:rFonts w:ascii="Georgia" w:hAnsi="Georgia"/>
        </w:rPr>
      </w:pPr>
      <w:r>
        <w:t>Creating a consistent and high level of risk mitigating practice across all areas of the organisation as a key mainstream management obligation and performance expectation</w:t>
      </w:r>
    </w:p>
    <w:p w:rsidR="00DA4920" w:rsidRDefault="00DA4920" w:rsidP="003927AE">
      <w:pPr>
        <w:tabs>
          <w:tab w:val="left" w:pos="2925"/>
        </w:tabs>
        <w:spacing w:line="240" w:lineRule="auto"/>
        <w:rPr>
          <w:rStyle w:val="Heading1Char"/>
        </w:rPr>
      </w:pPr>
    </w:p>
    <w:p w:rsidR="00DA4920" w:rsidRDefault="00DA4920" w:rsidP="003927AE">
      <w:pPr>
        <w:tabs>
          <w:tab w:val="left" w:pos="2925"/>
        </w:tabs>
        <w:spacing w:line="240" w:lineRule="auto"/>
        <w:rPr>
          <w:rStyle w:val="Heading1Char"/>
        </w:rPr>
      </w:pPr>
    </w:p>
    <w:p w:rsidR="00DA4920" w:rsidRDefault="00DA4920" w:rsidP="003927AE">
      <w:pPr>
        <w:tabs>
          <w:tab w:val="left" w:pos="2925"/>
        </w:tabs>
        <w:spacing w:line="240" w:lineRule="auto"/>
        <w:rPr>
          <w:rStyle w:val="Heading1Char"/>
        </w:rPr>
      </w:pPr>
    </w:p>
    <w:p w:rsidR="00DA4920" w:rsidRDefault="00DA4920" w:rsidP="003927AE">
      <w:pPr>
        <w:tabs>
          <w:tab w:val="left" w:pos="2925"/>
        </w:tabs>
        <w:spacing w:line="240" w:lineRule="auto"/>
        <w:rPr>
          <w:rStyle w:val="Heading1Char"/>
        </w:rPr>
      </w:pPr>
    </w:p>
    <w:p w:rsidR="00DA4920" w:rsidRDefault="00DA4920" w:rsidP="003927AE">
      <w:pPr>
        <w:tabs>
          <w:tab w:val="left" w:pos="2925"/>
        </w:tabs>
        <w:spacing w:line="240" w:lineRule="auto"/>
        <w:rPr>
          <w:rStyle w:val="Heading1Char"/>
        </w:rPr>
      </w:pPr>
    </w:p>
    <w:p w:rsidR="00DA4920" w:rsidRDefault="00DA4920"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661824" w:rsidRDefault="003927AE" w:rsidP="003927AE">
            <w:pPr>
              <w:pStyle w:val="TableText"/>
              <w:numPr>
                <w:ilvl w:val="0"/>
                <w:numId w:val="3"/>
              </w:numPr>
            </w:pPr>
            <w:r>
              <w:t>Provide expert advice and contribute to decision making</w:t>
            </w:r>
          </w:p>
          <w:p w:rsidR="00661824" w:rsidRDefault="003927AE" w:rsidP="003927AE">
            <w:pPr>
              <w:pStyle w:val="TableText"/>
              <w:numPr>
                <w:ilvl w:val="0"/>
                <w:numId w:val="3"/>
              </w:numPr>
            </w:pPr>
            <w:r>
              <w:t>Identify emerging issues/risks and their implications and propose solutions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counsel and recommendations on risk identification, assessment, management and mitigation matters to influence organisational decisions and initiatives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661824"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team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across other jurisdictions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NSW Central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Align the Agency's risk management strategies and practices with NSW Audit Office and NSW Treasury directions and requirements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External Vendors/Service Providers and Consultants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Negotiate and approve contracts or service level agreements with external providers (e.g. risk management consultants, insurance brokers, etc.)  to ensure optimised return on investment for the Agency</w:t>
            </w:r>
          </w:p>
        </w:tc>
      </w:tr>
    </w:tbl>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NA</w:t>
      </w:r>
    </w:p>
    <w:p w:rsidR="003927AE" w:rsidRPr="00614552" w:rsidRDefault="003927AE" w:rsidP="003927AE">
      <w:pPr>
        <w:pStyle w:val="Heading2"/>
      </w:pPr>
      <w:r w:rsidRPr="00614552">
        <w:t>Direct reports</w:t>
      </w:r>
    </w:p>
    <w:p w:rsidR="003927AE" w:rsidRPr="00603D53" w:rsidRDefault="003927AE" w:rsidP="003927AE">
      <w:pPr>
        <w:rPr>
          <w:rFonts w:cs="Arial"/>
          <w:szCs w:val="26"/>
        </w:rPr>
      </w:pPr>
      <w:r>
        <w:t>NA</w:t>
      </w:r>
    </w:p>
    <w:p w:rsidR="003927AE" w:rsidRPr="00614552" w:rsidRDefault="003927AE" w:rsidP="003927AE">
      <w:pPr>
        <w:pStyle w:val="Heading2"/>
      </w:pPr>
      <w:r w:rsidRPr="00614552">
        <w:t>Budget/Expenditure</w:t>
      </w:r>
    </w:p>
    <w:p w:rsidR="003927AE" w:rsidRDefault="003927AE" w:rsidP="003927AE">
      <w:pPr>
        <w:rPr>
          <w:rFonts w:cs="Arial"/>
          <w:szCs w:val="26"/>
        </w:rPr>
      </w:pPr>
      <w: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w:t>
      </w:r>
      <w:r>
        <w:lastRenderedPageBreak/>
        <w:t xml:space="preserve">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0121CE" w:rsidP="00DF2209">
            <w:pPr>
              <w:keepNext/>
            </w:pPr>
            <w:r w:rsidRPr="00C978B9">
              <w:rPr>
                <w:noProof/>
                <w:lang w:eastAsia="en-AU"/>
              </w:rPr>
              <w:drawing>
                <wp:inline distT="0" distB="0" distL="0" distR="0" wp14:anchorId="7A7723C0" wp14:editId="47A3710A">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0121CE" w:rsidP="00DF2209">
            <w:pPr>
              <w:keepNext/>
            </w:pPr>
            <w:r w:rsidRPr="00C978B9">
              <w:rPr>
                <w:noProof/>
                <w:lang w:eastAsia="en-AU"/>
              </w:rPr>
              <w:drawing>
                <wp:inline distT="0" distB="0" distL="0" distR="0" wp14:anchorId="5F1B3839" wp14:editId="3248DEF0">
                  <wp:extent cx="854016" cy="854016"/>
                  <wp:effectExtent l="0" t="0" r="3810" b="3810"/>
                  <wp:docPr id="12"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661824" w:rsidRDefault="0066182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661824" w:rsidRPr="00803E47" w:rsidTr="00D7700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661824" w:rsidRPr="00803E47" w:rsidRDefault="00661824" w:rsidP="00D77007">
            <w:pPr>
              <w:pStyle w:val="TableTextWhite0"/>
              <w:keepNext/>
              <w:jc w:val="both"/>
            </w:pPr>
            <w:r w:rsidRPr="00051E80">
              <w:rPr>
                <w:sz w:val="24"/>
                <w:szCs w:val="24"/>
              </w:rPr>
              <w:lastRenderedPageBreak/>
              <w:t>FOCUS CAPABILITIES</w:t>
            </w:r>
          </w:p>
        </w:tc>
      </w:tr>
      <w:tr w:rsidR="00661824" w:rsidRPr="00C978B9" w:rsidTr="00D7700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661824" w:rsidRPr="00C978B9" w:rsidRDefault="00661824" w:rsidP="00D7700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661824" w:rsidRPr="00C978B9" w:rsidRDefault="00661824" w:rsidP="00D7700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661824" w:rsidRDefault="00661824" w:rsidP="00D77007">
            <w:pPr>
              <w:pStyle w:val="TableText"/>
              <w:keepNext/>
              <w:rPr>
                <w:b/>
              </w:rPr>
            </w:pPr>
          </w:p>
        </w:tc>
        <w:tc>
          <w:tcPr>
            <w:tcW w:w="4770" w:type="dxa"/>
            <w:tcBorders>
              <w:bottom w:val="single" w:sz="12" w:space="0" w:color="auto"/>
            </w:tcBorders>
            <w:shd w:val="clear" w:color="auto" w:fill="BCBEC0"/>
          </w:tcPr>
          <w:p w:rsidR="00661824" w:rsidRDefault="00661824" w:rsidP="00D77007">
            <w:pPr>
              <w:pStyle w:val="TableText"/>
              <w:keepNext/>
              <w:rPr>
                <w:b/>
              </w:rPr>
            </w:pPr>
            <w:r>
              <w:rPr>
                <w:b/>
              </w:rPr>
              <w:t>Behavioural indicators</w:t>
            </w:r>
          </w:p>
        </w:tc>
        <w:tc>
          <w:tcPr>
            <w:tcW w:w="1606" w:type="dxa"/>
            <w:tcBorders>
              <w:bottom w:val="single" w:sz="12" w:space="0" w:color="auto"/>
            </w:tcBorders>
            <w:shd w:val="clear" w:color="auto" w:fill="BCBEC0"/>
          </w:tcPr>
          <w:p w:rsidR="00661824" w:rsidRDefault="00661824" w:rsidP="00D77007">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0121CE" w:rsidP="00DF2209">
            <w:pPr>
              <w:keepNext/>
            </w:pPr>
            <w:r w:rsidRPr="00C978B9">
              <w:rPr>
                <w:noProof/>
                <w:lang w:eastAsia="en-AU"/>
              </w:rPr>
              <w:drawing>
                <wp:inline distT="0" distB="0" distL="0" distR="0" wp14:anchorId="65B1233F" wp14:editId="57A21A14">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Think and Solve Problems</w:t>
            </w:r>
          </w:p>
          <w:p w:rsidR="002D336D" w:rsidRPr="00AA57E3" w:rsidRDefault="002D336D" w:rsidP="00A72C86">
            <w:pPr>
              <w:pStyle w:val="TableText"/>
              <w:keepNext/>
            </w:pPr>
            <w:r>
              <w:t>Think, analyse and consider the broader context to develop practical solutions</w:t>
            </w:r>
          </w:p>
        </w:tc>
        <w:tc>
          <w:tcPr>
            <w:tcW w:w="4770" w:type="dxa"/>
            <w:tcBorders>
              <w:bottom w:val="single" w:sz="4" w:space="0" w:color="BCBEC0"/>
            </w:tcBorders>
          </w:tcPr>
          <w:p w:rsidR="002D336D" w:rsidRPr="00AA57E3" w:rsidRDefault="002D336D" w:rsidP="002D336D">
            <w:pPr>
              <w:pStyle w:val="TableBullet"/>
            </w:pPr>
            <w:r>
              <w:t>Undertake objective, critical analysis to draw accurate conclusions that recognise and manage contextual issues</w:t>
            </w:r>
          </w:p>
          <w:p w:rsidR="002D336D" w:rsidRPr="00AA57E3" w:rsidRDefault="002D336D" w:rsidP="002D336D">
            <w:pPr>
              <w:pStyle w:val="TableBullet"/>
            </w:pPr>
            <w:r>
              <w:t>Work through issues, weigh up alternatives and identify the most effective solutions in collaboration with others</w:t>
            </w:r>
          </w:p>
          <w:p w:rsidR="002D336D" w:rsidRPr="00AA57E3" w:rsidRDefault="002D336D" w:rsidP="002D336D">
            <w:pPr>
              <w:pStyle w:val="TableBullet"/>
            </w:pPr>
            <w:r>
              <w:t>Take account of the wider business context when considering options to resolve issues</w:t>
            </w:r>
          </w:p>
          <w:p w:rsidR="002D336D" w:rsidRPr="00AA57E3" w:rsidRDefault="002D336D" w:rsidP="002D336D">
            <w:pPr>
              <w:pStyle w:val="TableBullet"/>
            </w:pPr>
            <w:r>
              <w:t>Explore a range of possibilities and creative alternatives to contribute to system, process and business improvements</w:t>
            </w:r>
          </w:p>
          <w:p w:rsidR="002D336D" w:rsidRPr="00AA57E3" w:rsidRDefault="002D336D" w:rsidP="002D336D">
            <w:pPr>
              <w:pStyle w:val="TableBullet"/>
            </w:pPr>
            <w:r>
              <w:t>Implement systems and processes that are underpinned by high-quality research and analysis</w:t>
            </w:r>
          </w:p>
          <w:p w:rsidR="002D336D" w:rsidRPr="00AA57E3" w:rsidRDefault="002D336D" w:rsidP="002D336D">
            <w:pPr>
              <w:pStyle w:val="TableBullet"/>
            </w:pPr>
            <w:r>
              <w:t xml:space="preserve">Look for opportunities to design innovative </w:t>
            </w:r>
            <w:r>
              <w:lastRenderedPageBreak/>
              <w:t>solutions to meet user needs and service demands</w:t>
            </w:r>
          </w:p>
          <w:p w:rsidR="002D336D" w:rsidRPr="00AA57E3"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0121CE" w:rsidP="00DF2209">
            <w:pPr>
              <w:keepNext/>
            </w:pPr>
            <w:r w:rsidRPr="00C978B9">
              <w:rPr>
                <w:noProof/>
                <w:lang w:eastAsia="en-AU"/>
              </w:rPr>
              <w:drawing>
                <wp:inline distT="0" distB="0" distL="0" distR="0" wp14:anchorId="6469BCD3" wp14:editId="477DE649">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Project Management</w:t>
            </w:r>
          </w:p>
          <w:p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rsidR="002D336D" w:rsidRPr="00AA57E3" w:rsidRDefault="002D336D" w:rsidP="002D336D">
            <w:pPr>
              <w:pStyle w:val="TableBullet"/>
            </w:pPr>
            <w:r>
              <w:t>Understand all components of the project management process, including the need to consider change management to realise business benefits</w:t>
            </w:r>
          </w:p>
          <w:p w:rsidR="002D336D" w:rsidRPr="00AA57E3" w:rsidRDefault="002D336D" w:rsidP="002D336D">
            <w:pPr>
              <w:pStyle w:val="TableBullet"/>
            </w:pPr>
            <w:r>
              <w:t>Prepare clear project proposals and accurate estimates of required costs and resources</w:t>
            </w:r>
          </w:p>
          <w:p w:rsidR="002D336D" w:rsidRPr="00AA57E3" w:rsidRDefault="002D336D" w:rsidP="002D336D">
            <w:pPr>
              <w:pStyle w:val="TableBullet"/>
            </w:pPr>
            <w:r>
              <w:t>Establish performance outcomes and measures for key project goals, and define monitoring, reporting and communication requirements</w:t>
            </w:r>
          </w:p>
          <w:p w:rsidR="002D336D" w:rsidRPr="00AA57E3" w:rsidRDefault="002D336D" w:rsidP="002D336D">
            <w:pPr>
              <w:pStyle w:val="TableBullet"/>
            </w:pPr>
            <w:r>
              <w:t>Identify and evaluate risks associated with the project and develop mitigation strategies</w:t>
            </w:r>
          </w:p>
          <w:p w:rsidR="002D336D" w:rsidRPr="00AA57E3" w:rsidRDefault="002D336D" w:rsidP="002D336D">
            <w:pPr>
              <w:pStyle w:val="TableBullet"/>
            </w:pPr>
            <w:r>
              <w:t>Identify and consult stakeholders to inform the project strategy</w:t>
            </w:r>
          </w:p>
          <w:p w:rsidR="002D336D" w:rsidRPr="00AA57E3" w:rsidRDefault="002D336D" w:rsidP="002D336D">
            <w:pPr>
              <w:pStyle w:val="TableBullet"/>
            </w:pPr>
            <w:r>
              <w:t>Communicate the project’s objectives and its expected benefits</w:t>
            </w:r>
          </w:p>
          <w:p w:rsidR="002D336D" w:rsidRPr="00AA57E3" w:rsidRDefault="002D336D" w:rsidP="002D336D">
            <w:pPr>
              <w:pStyle w:val="TableBullet"/>
            </w:pPr>
            <w:r>
              <w:t>Monitor the completion of project milestones against goals and take necessary action</w:t>
            </w:r>
          </w:p>
          <w:p w:rsidR="002D336D" w:rsidRPr="00AA57E3" w:rsidRDefault="002D336D" w:rsidP="002D336D">
            <w:pPr>
              <w:pStyle w:val="TableBullet"/>
            </w:pPr>
            <w:r>
              <w:t>Evaluate progress and identify improvements to inform future projects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tcBorders>
              <w:bottom w:val="single" w:sz="4" w:space="0" w:color="BCBEC0"/>
            </w:tcBorders>
          </w:tcPr>
          <w:p w:rsidR="002D336D" w:rsidRPr="00C978B9" w:rsidRDefault="000121CE" w:rsidP="00DF2209">
            <w:pPr>
              <w:keepNext/>
            </w:pPr>
            <w:r w:rsidRPr="00C978B9">
              <w:rPr>
                <w:noProof/>
                <w:lang w:eastAsia="en-AU"/>
              </w:rPr>
              <w:drawing>
                <wp:inline distT="0" distB="0" distL="0" distR="0" wp14:anchorId="4F0E8CC2" wp14:editId="7C3AC89D">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Engage in strategic and operational workforce planning that effectively uses organisational resources to achieve business goals</w:t>
            </w:r>
          </w:p>
          <w:p w:rsidR="002D336D" w:rsidRPr="00AA57E3" w:rsidRDefault="002D336D" w:rsidP="002D336D">
            <w:pPr>
              <w:pStyle w:val="TableBullet"/>
            </w:pPr>
            <w:r>
              <w:t>Resolve any barriers to recruiting and retaining people of diverse cultures, backgrounds and experiences</w:t>
            </w:r>
          </w:p>
          <w:p w:rsidR="002D336D" w:rsidRPr="00AA57E3" w:rsidRDefault="002D336D" w:rsidP="002D336D">
            <w:pPr>
              <w:pStyle w:val="TableBullet"/>
            </w:pPr>
            <w:r>
              <w:t>Encourage team members to take calculated risks to support innovation and improvement</w:t>
            </w:r>
          </w:p>
          <w:p w:rsidR="002D336D" w:rsidRPr="00AA57E3" w:rsidRDefault="002D336D" w:rsidP="002D336D">
            <w:pPr>
              <w:pStyle w:val="TableBullet"/>
            </w:pPr>
            <w:r>
              <w:t>Align systems and processes to encourage improved performance and outcomes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661824" w:rsidRDefault="0066182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661824" w:rsidRPr="00803E47" w:rsidTr="00D7700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661824" w:rsidRPr="00803E47" w:rsidRDefault="00661824" w:rsidP="00D77007">
            <w:pPr>
              <w:pStyle w:val="TableTextWhite0"/>
              <w:keepNext/>
              <w:jc w:val="both"/>
            </w:pPr>
            <w:r w:rsidRPr="00051E80">
              <w:rPr>
                <w:sz w:val="24"/>
                <w:szCs w:val="24"/>
              </w:rPr>
              <w:lastRenderedPageBreak/>
              <w:t>FOCUS CAPABILITIES</w:t>
            </w:r>
          </w:p>
        </w:tc>
      </w:tr>
      <w:tr w:rsidR="00661824" w:rsidRPr="00C978B9" w:rsidTr="00D7700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661824" w:rsidRPr="00C978B9" w:rsidRDefault="00661824" w:rsidP="00D7700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661824" w:rsidRPr="00C978B9" w:rsidRDefault="00661824" w:rsidP="00D7700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661824" w:rsidRDefault="00661824" w:rsidP="00D77007">
            <w:pPr>
              <w:pStyle w:val="TableText"/>
              <w:keepNext/>
              <w:rPr>
                <w:b/>
              </w:rPr>
            </w:pPr>
          </w:p>
        </w:tc>
        <w:tc>
          <w:tcPr>
            <w:tcW w:w="4770" w:type="dxa"/>
            <w:tcBorders>
              <w:bottom w:val="single" w:sz="12" w:space="0" w:color="auto"/>
            </w:tcBorders>
            <w:shd w:val="clear" w:color="auto" w:fill="BCBEC0"/>
          </w:tcPr>
          <w:p w:rsidR="00661824" w:rsidRDefault="00661824" w:rsidP="00D77007">
            <w:pPr>
              <w:pStyle w:val="TableText"/>
              <w:keepNext/>
              <w:rPr>
                <w:b/>
              </w:rPr>
            </w:pPr>
            <w:r>
              <w:rPr>
                <w:b/>
              </w:rPr>
              <w:t>Behavioural indicators</w:t>
            </w:r>
          </w:p>
        </w:tc>
        <w:tc>
          <w:tcPr>
            <w:tcW w:w="1606" w:type="dxa"/>
            <w:tcBorders>
              <w:bottom w:val="single" w:sz="12" w:space="0" w:color="auto"/>
            </w:tcBorders>
            <w:shd w:val="clear" w:color="auto" w:fill="BCBEC0"/>
          </w:tcPr>
          <w:p w:rsidR="00661824" w:rsidRDefault="00661824" w:rsidP="00D77007">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Plan and Prioritise</w:t>
            </w:r>
          </w:p>
        </w:tc>
        <w:tc>
          <w:tcPr>
            <w:tcW w:w="4770" w:type="dxa"/>
            <w:tcBorders>
              <w:bottom w:val="single" w:sz="4" w:space="0" w:color="BCBEC0"/>
            </w:tcBorders>
          </w:tcPr>
          <w:p w:rsidR="002B5704"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661824" w:rsidRDefault="0066182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661824" w:rsidRPr="00803E47" w:rsidTr="00D7700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661824" w:rsidRPr="00803E47" w:rsidRDefault="00661824" w:rsidP="00D77007">
            <w:pPr>
              <w:pStyle w:val="TableTextWhite0"/>
              <w:keepNext/>
              <w:jc w:val="both"/>
            </w:pPr>
            <w:r>
              <w:rPr>
                <w:sz w:val="24"/>
                <w:szCs w:val="24"/>
              </w:rPr>
              <w:lastRenderedPageBreak/>
              <w:t>COMPLEMENTARY</w:t>
            </w:r>
            <w:r w:rsidRPr="00051E80">
              <w:rPr>
                <w:sz w:val="24"/>
                <w:szCs w:val="24"/>
              </w:rPr>
              <w:t xml:space="preserve"> CAPABILITIES</w:t>
            </w:r>
          </w:p>
        </w:tc>
      </w:tr>
      <w:tr w:rsidR="00661824" w:rsidRPr="00C978B9" w:rsidTr="00D7700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661824" w:rsidRPr="00C978B9" w:rsidRDefault="00661824" w:rsidP="00D7700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661824" w:rsidRPr="00C978B9" w:rsidRDefault="00661824" w:rsidP="00D7700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661824" w:rsidRDefault="00661824" w:rsidP="00D77007">
            <w:pPr>
              <w:pStyle w:val="TableText"/>
              <w:keepNext/>
              <w:rPr>
                <w:b/>
              </w:rPr>
            </w:pPr>
          </w:p>
        </w:tc>
        <w:tc>
          <w:tcPr>
            <w:tcW w:w="4770" w:type="dxa"/>
            <w:tcBorders>
              <w:bottom w:val="single" w:sz="12" w:space="0" w:color="auto"/>
            </w:tcBorders>
            <w:shd w:val="clear" w:color="auto" w:fill="BCBEC0"/>
          </w:tcPr>
          <w:p w:rsidR="00661824" w:rsidRDefault="00661824" w:rsidP="00D77007">
            <w:pPr>
              <w:pStyle w:val="TableText"/>
              <w:keepNext/>
              <w:rPr>
                <w:b/>
              </w:rPr>
            </w:pPr>
            <w:r>
              <w:rPr>
                <w:b/>
              </w:rPr>
              <w:t>Description</w:t>
            </w:r>
          </w:p>
        </w:tc>
        <w:tc>
          <w:tcPr>
            <w:tcW w:w="1606" w:type="dxa"/>
            <w:tcBorders>
              <w:bottom w:val="single" w:sz="12" w:space="0" w:color="auto"/>
            </w:tcBorders>
            <w:shd w:val="clear" w:color="auto" w:fill="BCBEC0"/>
          </w:tcPr>
          <w:p w:rsidR="00661824" w:rsidRDefault="00661824" w:rsidP="00D77007">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AD" w:rsidRDefault="007B05AD" w:rsidP="00BB532F">
      <w:pPr>
        <w:spacing w:after="0" w:line="240" w:lineRule="auto"/>
      </w:pPr>
      <w:r>
        <w:separator/>
      </w:r>
    </w:p>
  </w:endnote>
  <w:endnote w:type="continuationSeparator" w:id="0">
    <w:p w:rsidR="007B05AD" w:rsidRDefault="007B05A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Risk Management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AD" w:rsidRDefault="007B05AD" w:rsidP="00BB532F">
      <w:pPr>
        <w:spacing w:after="0" w:line="240" w:lineRule="auto"/>
      </w:pPr>
      <w:r>
        <w:separator/>
      </w:r>
    </w:p>
  </w:footnote>
  <w:footnote w:type="continuationSeparator" w:id="0">
    <w:p w:rsidR="007B05AD" w:rsidRDefault="007B05A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Risk Management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C5E02"/>
    <w:multiLevelType w:val="hybridMultilevel"/>
    <w:tmpl w:val="65A01AB4"/>
    <w:lvl w:ilvl="0" w:tplc="36EC8D6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401BB"/>
    <w:multiLevelType w:val="hybridMultilevel"/>
    <w:tmpl w:val="471E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CE7018"/>
    <w:multiLevelType w:val="hybridMultilevel"/>
    <w:tmpl w:val="21CACB5A"/>
    <w:lvl w:ilvl="0" w:tplc="36EC8D6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21CE"/>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46347"/>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1824"/>
    <w:rsid w:val="00674D4C"/>
    <w:rsid w:val="00674F99"/>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CC0"/>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05AD"/>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0C41"/>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49C"/>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4920"/>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62F9"/>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7323A"/>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cc476b818f4f4e9c"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A4685975</value>
    </field>
    <field name="Objective-Title">
      <value order="0">Executive - Director, Risk Management 301020 F</value>
    </field>
    <field name="Objective-Description">
      <value order="0"/>
    </field>
    <field name="Objective-CreationStamp">
      <value order="0">2020-07-01T04:36:29Z</value>
    </field>
    <field name="Objective-IsApproved">
      <value order="0">false</value>
    </field>
    <field name="Objective-IsPublished">
      <value order="0">false</value>
    </field>
    <field name="Objective-DatePublished">
      <value order="0"/>
    </field>
    <field name="Objective-ModificationStamp">
      <value order="0">2020-11-02T00:01:28Z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vA8444037</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D51A026-7511-4B2B-9A52-D24B6961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20</TotalTime>
  <Pages>7</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7</cp:revision>
  <dcterms:created xsi:type="dcterms:W3CDTF">2020-07-01T05:36:00Z</dcterms:created>
  <dcterms:modified xsi:type="dcterms:W3CDTF">2020-11-02T00:01:00Z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A4685975</vt:lpwstr>
  </property>
  <property fmtid="{D5CDD505-2E9C-101B-9397-08002B2CF9AE}" pid="4" name="Objective-Title">
    <vt:lpwstr>Executive - Director, Risk Management 301020 F</vt:lpwstr>
  </property>
  <property fmtid="{D5CDD505-2E9C-101B-9397-08002B2CF9AE}" pid="5" name="Objective-Description">
    <vt:lpwstr/>
  </property>
  <property fmtid="{D5CDD505-2E9C-101B-9397-08002B2CF9AE}" pid="6" name="Objective-CreationStamp">
    <vt:filetime>2020-07-03T03:52:55Z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2020-11-02T00:01:28Z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vA8444037</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