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167D11"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167D11" w:rsidRPr="00FC13A3" w:rsidRDefault="00167D11" w:rsidP="00C60D72">
            <w:pPr>
              <w:pStyle w:val="TableTextWhite"/>
              <w:rPr>
                <w:b/>
              </w:rPr>
            </w:pPr>
            <w:r>
              <w:rPr>
                <w:b/>
              </w:rPr>
              <w:t>Senior Executive Work Level Standards</w:t>
            </w:r>
          </w:p>
        </w:tc>
        <w:tc>
          <w:tcPr>
            <w:tcW w:w="6831" w:type="dxa"/>
          </w:tcPr>
          <w:p w:rsidR="00167D11" w:rsidRDefault="00167D11" w:rsidP="00C60D72">
            <w:pPr>
              <w:pStyle w:val="TableTextWhite"/>
            </w:pPr>
            <w:r>
              <w:t>Work Contribution Stream: Professional/Technical/Specialist</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1</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26 June 2020</w:t>
            </w:r>
          </w:p>
        </w:tc>
      </w:tr>
    </w:tbl>
    <w:p w:rsidR="00477EB1" w:rsidRPr="00E55704" w:rsidRDefault="00477EB1" w:rsidP="00477EB1">
      <w:pPr>
        <w:tabs>
          <w:tab w:val="left" w:pos="2925"/>
        </w:tabs>
        <w:rPr>
          <w:rFonts w:cs="Arial"/>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Project Management Office (PMO) is responsible for the Agency's overall project management function, providing leadership, integration and management of PMO processes and functions to improve the consistency and efficiency of the Agency’s project delivery.</w:t>
      </w:r>
    </w:p>
    <w:p w:rsidR="003927AE" w:rsidRPr="00172DFE" w:rsidRDefault="003927AE" w:rsidP="00172DFE">
      <w:pPr>
        <w:tabs>
          <w:tab w:val="left" w:pos="2925"/>
        </w:tabs>
        <w:rPr>
          <w:rStyle w:val="Heading1Char"/>
        </w:rPr>
      </w:pPr>
      <w:r w:rsidRPr="00172DFE">
        <w:rPr>
          <w:rStyle w:val="Heading1Char"/>
        </w:rPr>
        <w:t>Key accountabilities</w:t>
      </w:r>
    </w:p>
    <w:p w:rsidR="00FD65C5" w:rsidRPr="00FD65C5" w:rsidRDefault="007E77DC" w:rsidP="00FD65C5">
      <w:pPr>
        <w:pStyle w:val="ListParagraph"/>
        <w:numPr>
          <w:ilvl w:val="0"/>
          <w:numId w:val="11"/>
        </w:numPr>
        <w:tabs>
          <w:tab w:val="left" w:pos="2925"/>
        </w:tabs>
        <w:rPr>
          <w:rFonts w:cs="Arial"/>
        </w:rPr>
      </w:pPr>
      <w:r>
        <w:t>Define the PMO strategy and lead the design and implementation of a common project management methodology, standards and tools to drive and facilitate the successful delivery of projects</w:t>
      </w:r>
    </w:p>
    <w:p w:rsidR="00FD65C5" w:rsidRPr="00FD65C5" w:rsidRDefault="007E77DC" w:rsidP="00FD65C5">
      <w:pPr>
        <w:pStyle w:val="ListParagraph"/>
        <w:numPr>
          <w:ilvl w:val="0"/>
          <w:numId w:val="11"/>
        </w:numPr>
        <w:tabs>
          <w:tab w:val="left" w:pos="2925"/>
        </w:tabs>
        <w:rPr>
          <w:rFonts w:cs="Arial"/>
        </w:rPr>
      </w:pPr>
      <w:r>
        <w:t>Lead the execution of a PMO governance, reporting and review framework to provide a holistic view of all organisational project activity</w:t>
      </w:r>
    </w:p>
    <w:p w:rsidR="00FD65C5" w:rsidRPr="00FD65C5" w:rsidRDefault="007E77DC" w:rsidP="00FD65C5">
      <w:pPr>
        <w:pStyle w:val="ListParagraph"/>
        <w:numPr>
          <w:ilvl w:val="0"/>
          <w:numId w:val="11"/>
        </w:numPr>
        <w:tabs>
          <w:tab w:val="left" w:pos="2925"/>
        </w:tabs>
        <w:rPr>
          <w:rFonts w:cs="Arial"/>
        </w:rPr>
      </w:pPr>
      <w:r>
        <w:t>Manage interdependencies and coordination across projects to ensure that information relating to project deliverables, risks and issues are effectively communicated between stakeholders and that key performance indicators are monitored and evaluated</w:t>
      </w:r>
    </w:p>
    <w:p w:rsidR="00FD65C5" w:rsidRPr="00FD65C5" w:rsidRDefault="007E77DC" w:rsidP="00FD65C5">
      <w:pPr>
        <w:pStyle w:val="ListParagraph"/>
        <w:numPr>
          <w:ilvl w:val="0"/>
          <w:numId w:val="11"/>
        </w:numPr>
        <w:tabs>
          <w:tab w:val="left" w:pos="2925"/>
        </w:tabs>
        <w:rPr>
          <w:rFonts w:cs="Arial"/>
        </w:rPr>
      </w:pPr>
      <w:r>
        <w:t>Identify and define the major strategic issues for the organisation and integrate diverse stakeholder interests with the Government’s broader agenda to inform the development and prioritisation of project initiatives and to proactively understand and mitigate risks</w:t>
      </w:r>
    </w:p>
    <w:p w:rsidR="00FD65C5" w:rsidRPr="00FD65C5" w:rsidRDefault="007E77DC" w:rsidP="00FD65C5">
      <w:pPr>
        <w:pStyle w:val="ListParagraph"/>
        <w:numPr>
          <w:ilvl w:val="0"/>
          <w:numId w:val="11"/>
        </w:numPr>
        <w:tabs>
          <w:tab w:val="left" w:pos="2925"/>
        </w:tabs>
        <w:rPr>
          <w:rFonts w:cs="Arial"/>
        </w:rPr>
      </w:pPr>
      <w:r>
        <w:t>Define business strategies and organisational policies to enable the strategic coordination of multiple major projects and initiatives to improve efficiency and effectiveness of projects</w:t>
      </w:r>
    </w:p>
    <w:p w:rsidR="003927AE" w:rsidRPr="00FD65C5" w:rsidRDefault="007E77DC" w:rsidP="00FD65C5">
      <w:pPr>
        <w:pStyle w:val="ListParagraph"/>
        <w:numPr>
          <w:ilvl w:val="0"/>
          <w:numId w:val="11"/>
        </w:numPr>
        <w:tabs>
          <w:tab w:val="left" w:pos="2925"/>
        </w:tabs>
        <w:rPr>
          <w:rFonts w:cs="Arial"/>
        </w:rPr>
      </w:pPr>
      <w:r>
        <w:t>Foster collaborative and mutually supportive relationships with project leaders and senior stakeholders, assess cross-functional project team capability, provide coaching, training and support to enhance the Agency's project/program management capability, and improve collaborative development and project results</w:t>
      </w:r>
    </w:p>
    <w:p w:rsidR="003927AE" w:rsidRPr="00614552" w:rsidRDefault="003927AE" w:rsidP="003927AE">
      <w:pPr>
        <w:tabs>
          <w:tab w:val="left" w:pos="2925"/>
        </w:tabs>
        <w:rPr>
          <w:rStyle w:val="Heading1Char"/>
        </w:rPr>
      </w:pPr>
      <w:r w:rsidRPr="00614552">
        <w:rPr>
          <w:rStyle w:val="Heading1Char"/>
        </w:rPr>
        <w:t>Key challenges</w:t>
      </w:r>
    </w:p>
    <w:p w:rsidR="00FD65C5" w:rsidRPr="00FD65C5" w:rsidRDefault="007E77DC" w:rsidP="00FD65C5">
      <w:pPr>
        <w:pStyle w:val="ListParagraph"/>
        <w:numPr>
          <w:ilvl w:val="0"/>
          <w:numId w:val="11"/>
        </w:numPr>
        <w:tabs>
          <w:tab w:val="left" w:pos="2925"/>
        </w:tabs>
        <w:rPr>
          <w:rFonts w:ascii="Georgia" w:hAnsi="Georgia"/>
        </w:rPr>
      </w:pPr>
      <w:r>
        <w:t>Achieving cooperation, compliance and engagement in the value of a PMO function in an environment of conflicting interests and opinions</w:t>
      </w:r>
    </w:p>
    <w:p w:rsidR="003927AE" w:rsidRPr="00FD65C5" w:rsidRDefault="007E77DC" w:rsidP="00FD65C5">
      <w:pPr>
        <w:pStyle w:val="ListParagraph"/>
        <w:numPr>
          <w:ilvl w:val="0"/>
          <w:numId w:val="11"/>
        </w:numPr>
        <w:tabs>
          <w:tab w:val="left" w:pos="2925"/>
        </w:tabs>
        <w:rPr>
          <w:rFonts w:ascii="Georgia" w:hAnsi="Georgia"/>
        </w:rPr>
      </w:pPr>
      <w:r>
        <w:t>Identifying new and innovative project management approaches and tools and embed these in the behaviour and day to day activities of the organisation’s operations</w:t>
      </w:r>
    </w:p>
    <w:p w:rsidR="00D45427" w:rsidRDefault="00D45427" w:rsidP="003927AE">
      <w:pPr>
        <w:tabs>
          <w:tab w:val="left" w:pos="2925"/>
        </w:tabs>
        <w:spacing w:line="240" w:lineRule="auto"/>
        <w:rPr>
          <w:rStyle w:val="Heading1Char"/>
        </w:rPr>
      </w:pPr>
    </w:p>
    <w:p w:rsidR="00D45427" w:rsidRDefault="00D45427" w:rsidP="003927AE">
      <w:pPr>
        <w:tabs>
          <w:tab w:val="left" w:pos="2925"/>
        </w:tabs>
        <w:spacing w:line="240" w:lineRule="auto"/>
        <w:rPr>
          <w:rStyle w:val="Heading1Char"/>
        </w:rPr>
      </w:pPr>
    </w:p>
    <w:p w:rsidR="00D45427" w:rsidRDefault="00D45427" w:rsidP="003927AE">
      <w:pPr>
        <w:tabs>
          <w:tab w:val="left" w:pos="2925"/>
        </w:tabs>
        <w:spacing w:line="240" w:lineRule="auto"/>
        <w:rPr>
          <w:rStyle w:val="Heading1Char"/>
        </w:rPr>
      </w:pPr>
    </w:p>
    <w:p w:rsidR="00D45427" w:rsidRDefault="00D45427" w:rsidP="003927AE">
      <w:pPr>
        <w:tabs>
          <w:tab w:val="left" w:pos="2925"/>
        </w:tabs>
        <w:spacing w:line="240" w:lineRule="auto"/>
        <w:rPr>
          <w:rStyle w:val="Heading1Char"/>
        </w:rPr>
      </w:pPr>
    </w:p>
    <w:p w:rsidR="00D45427" w:rsidRDefault="00D45427" w:rsidP="003927AE">
      <w:pPr>
        <w:tabs>
          <w:tab w:val="left" w:pos="2925"/>
        </w:tabs>
        <w:spacing w:line="240" w:lineRule="auto"/>
        <w:rPr>
          <w:rStyle w:val="Heading1Char"/>
        </w:rPr>
      </w:pP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Provide expert advice, counsel and recommendations on PMO matters, to influence organisational decisions and initiatives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Develop strategic relationships and provide expert PMO advice to impact decisions, support initiatives, clarify accountability and communicate customer service performance</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FD65C5" w:rsidRDefault="003927AE" w:rsidP="003927AE">
            <w:pPr>
              <w:pStyle w:val="TableText"/>
              <w:numPr>
                <w:ilvl w:val="0"/>
                <w:numId w:val="3"/>
              </w:numPr>
            </w:pPr>
            <w:r>
              <w:t>Lead, guide and support</w:t>
            </w:r>
          </w:p>
          <w:p w:rsidR="003927AE" w:rsidRPr="00A15CDB" w:rsidRDefault="003927AE" w:rsidP="003927AE">
            <w:pPr>
              <w:pStyle w:val="TableText"/>
              <w:numPr>
                <w:ilvl w:val="0"/>
                <w:numId w:val="3"/>
              </w:numPr>
            </w:pPr>
            <w:r>
              <w:t>Set performance expectations and manage performance and development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professional networks and relationships to maintain currency, share ideas and learnings, and collaborate on common responses to project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rsidR="00FD65C5" w:rsidRDefault="003927AE" w:rsidP="003927AE">
            <w:pPr>
              <w:pStyle w:val="TableText"/>
              <w:numPr>
                <w:ilvl w:val="0"/>
                <w:numId w:val="3"/>
              </w:numPr>
            </w:pPr>
            <w:r>
              <w:t>Negotiate and approve contracts and service level agreements</w:t>
            </w:r>
          </w:p>
          <w:p w:rsidR="003927AE" w:rsidRPr="00A15CDB" w:rsidRDefault="003927AE" w:rsidP="003927AE">
            <w:pPr>
              <w:pStyle w:val="TableText"/>
              <w:numPr>
                <w:ilvl w:val="0"/>
                <w:numId w:val="3"/>
              </w:numPr>
            </w:pPr>
            <w:r>
              <w:t>Manage contracts and monitor provision of service to ensure compliance with contracts and service arrangements</w:t>
            </w:r>
          </w:p>
        </w:tc>
      </w:tr>
    </w:tbl>
    <w:p w:rsidR="003927AE" w:rsidRDefault="003927AE" w:rsidP="00FD65C5">
      <w:pPr>
        <w:spacing w:after="0" w:line="240" w:lineRule="auto"/>
      </w:pPr>
    </w:p>
    <w:p w:rsidR="003927AE" w:rsidRDefault="003927AE" w:rsidP="003927AE">
      <w:pPr>
        <w:pStyle w:val="Heading1"/>
        <w:rPr>
          <w:sz w:val="28"/>
        </w:rPr>
      </w:pPr>
      <w:r w:rsidRPr="00614552">
        <w:t>Role dimensions</w:t>
      </w:r>
    </w:p>
    <w:p w:rsidR="003927AE" w:rsidRPr="00614552" w:rsidRDefault="003927AE" w:rsidP="00FD65C5">
      <w:pPr>
        <w:pStyle w:val="Heading2"/>
        <w:spacing w:line="240" w:lineRule="auto"/>
      </w:pPr>
      <w:r w:rsidRPr="00614552">
        <w:t>Decision making</w:t>
      </w:r>
    </w:p>
    <w:p w:rsidR="003927AE" w:rsidRPr="00603D53" w:rsidRDefault="00FD65C5" w:rsidP="00FD65C5">
      <w:pPr>
        <w:spacing w:line="240" w:lineRule="auto"/>
        <w:rPr>
          <w:rFonts w:cs="Arial"/>
          <w:szCs w:val="26"/>
        </w:rPr>
      </w:pPr>
      <w:r>
        <w:t>NA</w:t>
      </w:r>
    </w:p>
    <w:p w:rsidR="003927AE" w:rsidRPr="00614552" w:rsidRDefault="003927AE" w:rsidP="00FD65C5">
      <w:pPr>
        <w:pStyle w:val="Heading2"/>
        <w:spacing w:line="240" w:lineRule="auto"/>
      </w:pPr>
      <w:r w:rsidRPr="00614552">
        <w:t>Reporting line</w:t>
      </w:r>
    </w:p>
    <w:p w:rsidR="003927AE" w:rsidRPr="00603D53" w:rsidRDefault="00FD65C5" w:rsidP="00FD65C5">
      <w:pPr>
        <w:spacing w:line="240" w:lineRule="auto"/>
        <w:rPr>
          <w:rFonts w:cs="Arial"/>
          <w:szCs w:val="26"/>
        </w:rPr>
      </w:pPr>
      <w:r>
        <w:rPr>
          <w:rFonts w:cs="Arial"/>
          <w:szCs w:val="26"/>
        </w:rPr>
        <w:t>NA</w:t>
      </w:r>
    </w:p>
    <w:p w:rsidR="003927AE" w:rsidRPr="00614552" w:rsidRDefault="003927AE" w:rsidP="00FD65C5">
      <w:pPr>
        <w:pStyle w:val="Heading2"/>
        <w:spacing w:line="240" w:lineRule="auto"/>
      </w:pPr>
      <w:r w:rsidRPr="00614552">
        <w:t>Direct reports</w:t>
      </w:r>
    </w:p>
    <w:p w:rsidR="003927AE" w:rsidRPr="00603D53" w:rsidRDefault="00FD65C5" w:rsidP="00FD65C5">
      <w:pPr>
        <w:spacing w:line="240" w:lineRule="auto"/>
        <w:rPr>
          <w:rFonts w:cs="Arial"/>
          <w:szCs w:val="26"/>
        </w:rPr>
      </w:pPr>
      <w:r>
        <w:rPr>
          <w:rFonts w:cs="Arial"/>
          <w:szCs w:val="26"/>
        </w:rPr>
        <w:t>NA</w:t>
      </w:r>
    </w:p>
    <w:p w:rsidR="003927AE" w:rsidRPr="00614552" w:rsidRDefault="003927AE" w:rsidP="00FD65C5">
      <w:pPr>
        <w:pStyle w:val="Heading2"/>
        <w:spacing w:line="240" w:lineRule="auto"/>
      </w:pPr>
      <w:r w:rsidRPr="00614552">
        <w:t>Budget/Expenditure</w:t>
      </w:r>
    </w:p>
    <w:p w:rsidR="003927AE" w:rsidRDefault="00FD65C5" w:rsidP="00FD65C5">
      <w:pPr>
        <w:spacing w:line="240" w:lineRule="auto"/>
        <w:rPr>
          <w:rFonts w:cs="Arial"/>
          <w:szCs w:val="26"/>
        </w:rPr>
      </w:pPr>
      <w:r>
        <w:rPr>
          <w:rFonts w:cs="Arial"/>
          <w:szCs w:val="26"/>
        </w:rPr>
        <w:t>NA</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lastRenderedPageBreak/>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Commit to Customer Service</w:t>
            </w:r>
          </w:p>
          <w:p w:rsidR="002D336D" w:rsidRPr="00AA57E3" w:rsidRDefault="002D336D" w:rsidP="00A72C86">
            <w:pPr>
              <w:pStyle w:val="TableText"/>
              <w:keepNext/>
            </w:pPr>
            <w:r>
              <w:t>Provide customer-focused services in line with public sector and organisational objectives</w:t>
            </w:r>
          </w:p>
        </w:tc>
        <w:tc>
          <w:tcPr>
            <w:tcW w:w="4770" w:type="dxa"/>
            <w:tcBorders>
              <w:bottom w:val="single" w:sz="4" w:space="0" w:color="BCBEC0"/>
            </w:tcBorders>
          </w:tcPr>
          <w:p w:rsidR="002D336D" w:rsidRPr="00AA57E3" w:rsidRDefault="002D336D" w:rsidP="002D336D">
            <w:pPr>
              <w:pStyle w:val="TableBullet"/>
            </w:pPr>
            <w:r>
              <w:t>Promote a customer-focused culture in the organisation and consider new ways of working to improve customer experience</w:t>
            </w:r>
          </w:p>
          <w:p w:rsidR="002D336D" w:rsidRPr="00AA57E3" w:rsidRDefault="002D336D" w:rsidP="002D336D">
            <w:pPr>
              <w:pStyle w:val="TableBullet"/>
            </w:pPr>
            <w:r>
              <w:t>Ensure systems are in place to capture customer service insights to improve services</w:t>
            </w:r>
          </w:p>
          <w:p w:rsidR="002D336D" w:rsidRPr="00AA57E3" w:rsidRDefault="002D336D" w:rsidP="002D336D">
            <w:pPr>
              <w:pStyle w:val="TableBullet"/>
            </w:pPr>
            <w:r>
              <w:t>Initiate and develop partnerships with customers to define and evaluate service performance outcomes</w:t>
            </w:r>
          </w:p>
          <w:p w:rsidR="002D336D" w:rsidRPr="00AA57E3" w:rsidRDefault="002D336D" w:rsidP="002D336D">
            <w:pPr>
              <w:pStyle w:val="TableBullet"/>
            </w:pPr>
            <w:r>
              <w:t>Promote and manage alliances within the organisation and across the public, private and community sectors</w:t>
            </w:r>
          </w:p>
          <w:p w:rsidR="002D336D" w:rsidRPr="00AA57E3" w:rsidRDefault="002D336D" w:rsidP="002D336D">
            <w:pPr>
              <w:pStyle w:val="TableBullet"/>
            </w:pPr>
            <w:r>
              <w:t>Liaise with senior stakeholders on key issues and provide expert and influential advice</w:t>
            </w:r>
          </w:p>
          <w:p w:rsidR="002D336D" w:rsidRPr="00AA57E3" w:rsidRDefault="002D336D" w:rsidP="002D336D">
            <w:pPr>
              <w:pStyle w:val="TableBullet"/>
            </w:pPr>
            <w:r>
              <w:t>Identify and incorporate the interests and needs of customers in business process design and encourage new ideas and innovative approaches</w:t>
            </w:r>
          </w:p>
          <w:p w:rsidR="002D336D" w:rsidRPr="00AA57E3" w:rsidRDefault="002D336D" w:rsidP="002D336D">
            <w:pPr>
              <w:pStyle w:val="TableBullet"/>
            </w:pPr>
            <w:r>
              <w:t>Ensure that the organisation’s systems, processes, policies and programs respond to customer needs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FD65C5" w:rsidRDefault="00FD65C5">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AC50DB" w:rsidRPr="00803E47" w:rsidTr="00AB1662">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AC50DB" w:rsidRPr="00803E47" w:rsidRDefault="00AC50DB" w:rsidP="00AB1662">
            <w:pPr>
              <w:pStyle w:val="TableTextWhite0"/>
              <w:keepNext/>
              <w:jc w:val="both"/>
            </w:pPr>
            <w:r w:rsidRPr="00051E80">
              <w:rPr>
                <w:sz w:val="24"/>
                <w:szCs w:val="24"/>
              </w:rPr>
              <w:lastRenderedPageBreak/>
              <w:t>FOCUS CAPABILITIES</w:t>
            </w:r>
          </w:p>
        </w:tc>
      </w:tr>
      <w:tr w:rsidR="00AC50DB" w:rsidRPr="00C978B9" w:rsidTr="00AB1662">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AC50DB" w:rsidRPr="00C978B9" w:rsidRDefault="00AC50DB" w:rsidP="00AB1662">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AC50DB" w:rsidRPr="00C978B9" w:rsidRDefault="00AC50DB" w:rsidP="00AB1662">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AC50DB" w:rsidRDefault="00AC50DB" w:rsidP="00AB1662">
            <w:pPr>
              <w:pStyle w:val="TableText"/>
              <w:keepNext/>
              <w:rPr>
                <w:b/>
              </w:rPr>
            </w:pPr>
          </w:p>
        </w:tc>
        <w:tc>
          <w:tcPr>
            <w:tcW w:w="4770" w:type="dxa"/>
            <w:tcBorders>
              <w:bottom w:val="single" w:sz="12" w:space="0" w:color="auto"/>
            </w:tcBorders>
            <w:shd w:val="clear" w:color="auto" w:fill="BCBEC0"/>
          </w:tcPr>
          <w:p w:rsidR="00AC50DB" w:rsidRDefault="00AC50DB" w:rsidP="00AB1662">
            <w:pPr>
              <w:pStyle w:val="TableText"/>
              <w:keepNext/>
              <w:rPr>
                <w:b/>
              </w:rPr>
            </w:pPr>
            <w:r>
              <w:rPr>
                <w:b/>
              </w:rPr>
              <w:t>Behavioural indicators</w:t>
            </w:r>
          </w:p>
        </w:tc>
        <w:tc>
          <w:tcPr>
            <w:tcW w:w="1606" w:type="dxa"/>
            <w:tcBorders>
              <w:bottom w:val="single" w:sz="12" w:space="0" w:color="auto"/>
            </w:tcBorders>
            <w:shd w:val="clear" w:color="auto" w:fill="BCBEC0"/>
          </w:tcPr>
          <w:p w:rsidR="00AC50DB" w:rsidRDefault="00AC50DB" w:rsidP="00AB1662">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Influence and Negotiate</w:t>
            </w:r>
          </w:p>
          <w:p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rsidR="002D336D" w:rsidRDefault="002D336D" w:rsidP="002D336D">
            <w:pPr>
              <w:pStyle w:val="TableBullet"/>
            </w:pPr>
            <w:r>
              <w:t>Engage in a range of approaches to generate solutions, seeking expert inputs and advice to inform negotiating strategy</w:t>
            </w:r>
          </w:p>
          <w:p w:rsidR="002D336D" w:rsidRDefault="002D336D" w:rsidP="002D336D">
            <w:pPr>
              <w:pStyle w:val="TableBullet"/>
            </w:pPr>
            <w:r>
              <w:t>Use sound arguments, strong evidence and expert opinion to influence outcomes</w:t>
            </w:r>
          </w:p>
          <w:p w:rsidR="002D336D" w:rsidRDefault="002D336D" w:rsidP="002D336D">
            <w:pPr>
              <w:pStyle w:val="TableBullet"/>
            </w:pPr>
            <w:r>
              <w:t>Determine and communicate the organisation’s position and bargaining strategy</w:t>
            </w:r>
          </w:p>
          <w:p w:rsidR="002D336D" w:rsidRDefault="002D336D" w:rsidP="002D336D">
            <w:pPr>
              <w:pStyle w:val="TableBullet"/>
            </w:pPr>
            <w:r>
              <w:t>Represent the organisation in critical and challenging negotiations, including those that are cross-jurisdictional</w:t>
            </w:r>
          </w:p>
          <w:p w:rsidR="002D336D" w:rsidRDefault="002D336D" w:rsidP="002D336D">
            <w:pPr>
              <w:pStyle w:val="TableBullet"/>
            </w:pPr>
            <w:r>
              <w:t>Achieve effective solutions when dealing with ambiguous or conflicting positions</w:t>
            </w:r>
          </w:p>
          <w:p w:rsidR="002D336D" w:rsidRDefault="002D336D" w:rsidP="002D336D">
            <w:pPr>
              <w:pStyle w:val="TableBullet"/>
            </w:pPr>
            <w:r>
              <w:t>Anticipate and avoid conflict across organisations and with senior internal and external stakeholders</w:t>
            </w:r>
          </w:p>
          <w:p w:rsidR="002D336D" w:rsidRDefault="002D336D" w:rsidP="002D336D">
            <w:pPr>
              <w:pStyle w:val="TableBullet"/>
            </w:pPr>
            <w:r>
              <w:t>Identify contentious issues, direct discussion and debate, and steer parties towards an effective resolution</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Plan and Prioritise</w:t>
            </w:r>
          </w:p>
          <w:p w:rsidR="002D336D" w:rsidRPr="00AA57E3" w:rsidRDefault="002D336D" w:rsidP="00A72C86">
            <w:pPr>
              <w:pStyle w:val="TableText"/>
              <w:keepNext/>
            </w:pPr>
            <w:r>
              <w:t>Plan to achieve priority outcomes and respond flexibly to changing circumstances</w:t>
            </w:r>
          </w:p>
        </w:tc>
        <w:tc>
          <w:tcPr>
            <w:tcW w:w="4770" w:type="dxa"/>
            <w:tcBorders>
              <w:bottom w:val="single" w:sz="4" w:space="0" w:color="BCBEC0"/>
            </w:tcBorders>
          </w:tcPr>
          <w:p w:rsidR="002D336D" w:rsidRPr="00AA57E3" w:rsidRDefault="002D336D" w:rsidP="002D336D">
            <w:pPr>
              <w:pStyle w:val="TableBullet"/>
            </w:pPr>
            <w:r>
              <w:t>Understand the links between the business unit, organisation and the whole-of-government agenda</w:t>
            </w:r>
          </w:p>
          <w:p w:rsidR="002D336D" w:rsidRPr="00AA57E3" w:rsidRDefault="002D336D" w:rsidP="002D336D">
            <w:pPr>
              <w:pStyle w:val="TableBullet"/>
            </w:pPr>
            <w:r>
              <w:t>Ensure business plan goals are clear and appropriate and include contingency provisions</w:t>
            </w:r>
          </w:p>
          <w:p w:rsidR="002D336D" w:rsidRPr="00AA57E3" w:rsidRDefault="002D336D" w:rsidP="002D336D">
            <w:pPr>
              <w:pStyle w:val="TableBullet"/>
            </w:pPr>
            <w:r>
              <w:t>Monitor the progress of initiatives and make necessary adjustments</w:t>
            </w:r>
          </w:p>
          <w:p w:rsidR="002D336D" w:rsidRPr="00AA57E3" w:rsidRDefault="002D336D" w:rsidP="002D336D">
            <w:pPr>
              <w:pStyle w:val="TableBullet"/>
            </w:pPr>
            <w:r>
              <w:t>Anticipate and assess the impact of changes, including government policy and economic conditions, on business plans and initiatives and respond appropriately</w:t>
            </w:r>
          </w:p>
          <w:p w:rsidR="002D336D" w:rsidRPr="00AA57E3" w:rsidRDefault="002D336D" w:rsidP="002D336D">
            <w:pPr>
              <w:pStyle w:val="TableBullet"/>
            </w:pPr>
            <w:r>
              <w:t>Consider the implications of a wide range of complex issues and shift business priorities when necessary</w:t>
            </w:r>
          </w:p>
          <w:p w:rsidR="002D336D" w:rsidRPr="00AA57E3" w:rsidRDefault="002D336D" w:rsidP="002D336D">
            <w:pPr>
              <w:pStyle w:val="TableBullet"/>
            </w:pPr>
            <w:r>
              <w:t>Undertake planning to help the organisation transition through change initiatives, and evaluate progress and outcomes to inform future planning</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Demonstrate Accountability</w:t>
            </w:r>
          </w:p>
          <w:p w:rsidR="002D336D" w:rsidRPr="00A8226F" w:rsidRDefault="000411F6" w:rsidP="000411F6">
            <w:pPr>
              <w:pStyle w:val="TableText"/>
              <w:keepNext/>
              <w:rPr>
                <w:b/>
              </w:rPr>
            </w:pPr>
            <w:r>
              <w:t>Be proactive and responsible for own actions, and adhere to legislation, policy and guidelines</w:t>
            </w:r>
          </w:p>
        </w:tc>
        <w:tc>
          <w:tcPr>
            <w:tcW w:w="4770" w:type="dxa"/>
            <w:tcBorders>
              <w:bottom w:val="single" w:sz="4" w:space="0" w:color="BCBEC0"/>
            </w:tcBorders>
          </w:tcPr>
          <w:p w:rsidR="002D336D" w:rsidRDefault="002D336D" w:rsidP="002D336D">
            <w:pPr>
              <w:pStyle w:val="TableBullet"/>
            </w:pPr>
            <w:r>
              <w:t>Design and develop systems to establish and measure accountabilities</w:t>
            </w:r>
          </w:p>
          <w:p w:rsidR="002D336D" w:rsidRDefault="002D336D" w:rsidP="002D336D">
            <w:pPr>
              <w:pStyle w:val="TableBullet"/>
            </w:pPr>
            <w:r>
              <w:t>Ensure accountabilities are exercised in line with government and business goals</w:t>
            </w:r>
          </w:p>
          <w:p w:rsidR="002D336D" w:rsidRDefault="002D336D" w:rsidP="002D336D">
            <w:pPr>
              <w:pStyle w:val="TableBullet"/>
            </w:pPr>
            <w:r>
              <w:t>Exercise due diligence to ensure work health and safety risks are addressed</w:t>
            </w:r>
          </w:p>
          <w:p w:rsidR="002D336D" w:rsidRDefault="002D336D" w:rsidP="002D336D">
            <w:pPr>
              <w:pStyle w:val="TableBullet"/>
            </w:pPr>
            <w:r>
              <w:t>Oversee quality assurance practices</w:t>
            </w:r>
          </w:p>
          <w:p w:rsidR="002D336D" w:rsidRDefault="002D336D" w:rsidP="002D336D">
            <w:pPr>
              <w:pStyle w:val="TableBullet"/>
            </w:pPr>
            <w:r>
              <w:t>Model the highest standards of financial probity, demonstrating respect for public monies and other resources</w:t>
            </w:r>
          </w:p>
          <w:p w:rsidR="002D336D" w:rsidRDefault="002D336D" w:rsidP="002D336D">
            <w:pPr>
              <w:pStyle w:val="TableBullet"/>
            </w:pPr>
            <w:r>
              <w:t xml:space="preserve">Monitor and maintain business-unit knowledge of </w:t>
            </w:r>
            <w:r>
              <w:lastRenderedPageBreak/>
              <w:t>and compliance with legislative and regulatory frameworks</w:t>
            </w:r>
          </w:p>
          <w:p w:rsidR="002D336D" w:rsidRDefault="002D336D" w:rsidP="002D336D">
            <w:pPr>
              <w:pStyle w:val="TableBullet"/>
            </w:pPr>
            <w:r>
              <w:t>Incorporate sound risk management principles and strategies into business planning</w:t>
            </w:r>
          </w:p>
        </w:tc>
        <w:tc>
          <w:tcPr>
            <w:tcW w:w="1606" w:type="dxa"/>
            <w:tcBorders>
              <w:bottom w:val="single" w:sz="4" w:space="0" w:color="BCBEC0"/>
            </w:tcBorders>
          </w:tcPr>
          <w:p w:rsidR="002D336D" w:rsidRDefault="007C0486" w:rsidP="00A72C86">
            <w:pPr>
              <w:pStyle w:val="TableBullet"/>
              <w:numPr>
                <w:ilvl w:val="0"/>
                <w:numId w:val="0"/>
              </w:numPr>
              <w:jc w:val="both"/>
            </w:pPr>
            <w:r>
              <w:lastRenderedPageBreak/>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Project Management</w:t>
            </w:r>
          </w:p>
          <w:p w:rsidR="002D336D" w:rsidRPr="00AA57E3" w:rsidRDefault="002D336D" w:rsidP="00A72C86">
            <w:pPr>
              <w:pStyle w:val="TableText"/>
              <w:keepNext/>
            </w:pPr>
            <w:r>
              <w:t>Understand and apply effective planning, coordination and control methods</w:t>
            </w:r>
          </w:p>
        </w:tc>
        <w:tc>
          <w:tcPr>
            <w:tcW w:w="4770" w:type="dxa"/>
            <w:tcBorders>
              <w:bottom w:val="single" w:sz="4" w:space="0" w:color="BCBEC0"/>
            </w:tcBorders>
          </w:tcPr>
          <w:p w:rsidR="002D336D" w:rsidRPr="00AA57E3" w:rsidRDefault="002D336D" w:rsidP="002D336D">
            <w:pPr>
              <w:pStyle w:val="TableBullet"/>
            </w:pPr>
            <w:r>
              <w:t>Ensure there are systems and effective governance processes in place for project management</w:t>
            </w:r>
          </w:p>
          <w:p w:rsidR="002D336D" w:rsidRPr="00AA57E3" w:rsidRDefault="002D336D" w:rsidP="002D336D">
            <w:pPr>
              <w:pStyle w:val="TableBullet"/>
            </w:pPr>
            <w:r>
              <w:t>Make decisions on accepting projects based on business cases</w:t>
            </w:r>
          </w:p>
          <w:p w:rsidR="002D336D" w:rsidRPr="00AA57E3" w:rsidRDefault="002D336D" w:rsidP="002D336D">
            <w:pPr>
              <w:pStyle w:val="TableBullet"/>
            </w:pPr>
            <w:r>
              <w:t>Use the historical, political and broader context to inform project directions and mitigate risk</w:t>
            </w:r>
          </w:p>
          <w:p w:rsidR="002D336D" w:rsidRPr="00AA57E3" w:rsidRDefault="002D336D" w:rsidP="002D336D">
            <w:pPr>
              <w:pStyle w:val="TableBullet"/>
            </w:pPr>
            <w:r>
              <w:t>Obtain key stakeholders’ commitment to major project strategies, including cross-organisational initiatives, and ensure ongoing communication</w:t>
            </w:r>
          </w:p>
          <w:p w:rsidR="002D336D" w:rsidRPr="00AA57E3" w:rsidRDefault="002D336D" w:rsidP="002D336D">
            <w:pPr>
              <w:pStyle w:val="TableBullet"/>
            </w:pPr>
            <w:r>
              <w:t>Ensure that project risks are managed effectively, and appropriate strategies are in place to respond to variances</w:t>
            </w:r>
          </w:p>
          <w:p w:rsidR="002D336D" w:rsidRPr="00AA57E3" w:rsidRDefault="002D336D" w:rsidP="002D336D">
            <w:pPr>
              <w:pStyle w:val="TableBullet"/>
            </w:pPr>
            <w:r>
              <w:t>Drive the changes required to realise the business benefits of the project</w:t>
            </w:r>
          </w:p>
          <w:p w:rsidR="002D336D" w:rsidRPr="00AA57E3" w:rsidRDefault="002D336D" w:rsidP="002D336D">
            <w:pPr>
              <w:pStyle w:val="TableBullet"/>
            </w:pPr>
            <w:r>
              <w:t>Ensure that project management decisions consider interdependencies between projects</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Optimise Business Outcomes</w:t>
            </w:r>
          </w:p>
          <w:p w:rsidR="002D336D" w:rsidRPr="00AA57E3" w:rsidRDefault="002D336D" w:rsidP="00A72C86">
            <w:pPr>
              <w:pStyle w:val="TableText"/>
              <w:keepNext/>
            </w:pPr>
            <w:r>
              <w:t>Manage people and resources effectively to achieve public value</w:t>
            </w:r>
          </w:p>
        </w:tc>
        <w:tc>
          <w:tcPr>
            <w:tcW w:w="4770" w:type="dxa"/>
            <w:tcBorders>
              <w:bottom w:val="single" w:sz="4" w:space="0" w:color="BCBEC0"/>
            </w:tcBorders>
          </w:tcPr>
          <w:p w:rsidR="002D336D" w:rsidRPr="00AA57E3" w:rsidRDefault="002D336D" w:rsidP="002D336D">
            <w:pPr>
              <w:pStyle w:val="TableBullet"/>
            </w:pPr>
            <w:r>
              <w:t>Initiate and develop longer-term goals and plans to guide the work of the team in line with organisational objectives</w:t>
            </w:r>
          </w:p>
          <w:p w:rsidR="002D336D" w:rsidRPr="00AA57E3" w:rsidRDefault="002D336D" w:rsidP="002D336D">
            <w:pPr>
              <w:pStyle w:val="TableBullet"/>
            </w:pPr>
            <w:r>
              <w:t>Allocate resources to ensure the achievement of business outcomes and contribute to wider workforce planning</w:t>
            </w:r>
          </w:p>
          <w:p w:rsidR="002D336D" w:rsidRPr="00AA57E3" w:rsidRDefault="002D336D" w:rsidP="002D336D">
            <w:pPr>
              <w:pStyle w:val="TableBullet"/>
            </w:pPr>
            <w:r>
              <w:t>When planning resources, implement processes that encourage the attraction and retention of people of diverse cultures, backgrounds and experiences</w:t>
            </w:r>
          </w:p>
          <w:p w:rsidR="002D336D" w:rsidRPr="00AA57E3" w:rsidRDefault="002D336D" w:rsidP="002D336D">
            <w:pPr>
              <w:pStyle w:val="TableBullet"/>
            </w:pPr>
            <w:r>
              <w:t>Ensure that team members base their decisions on a sound understanding of business and risk management principles, applied in a public sector context</w:t>
            </w:r>
          </w:p>
          <w:p w:rsidR="002D336D" w:rsidRPr="00AA57E3" w:rsidRDefault="002D336D" w:rsidP="002D336D">
            <w:pPr>
              <w:pStyle w:val="TableBullet"/>
            </w:pPr>
            <w:r>
              <w:t>Monitor performance against standards and take timely corrective actions</w:t>
            </w:r>
          </w:p>
          <w:p w:rsidR="002D336D" w:rsidRPr="00AA57E3" w:rsidRDefault="002D336D" w:rsidP="002D336D">
            <w:pPr>
              <w:pStyle w:val="TableBullet"/>
            </w:pPr>
            <w:r>
              <w:t>Keep others informed about progress and performance outcomes</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bl>
    <w:p w:rsidR="00AC50DB" w:rsidRDefault="00AC50DB">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AC50DB" w:rsidRPr="00803E47" w:rsidTr="00AB1662">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AC50DB" w:rsidRPr="00803E47" w:rsidRDefault="00AC50DB" w:rsidP="00AB1662">
            <w:pPr>
              <w:pStyle w:val="TableTextWhite0"/>
              <w:keepNext/>
              <w:jc w:val="both"/>
            </w:pPr>
            <w:r w:rsidRPr="00051E80">
              <w:rPr>
                <w:sz w:val="24"/>
                <w:szCs w:val="24"/>
              </w:rPr>
              <w:lastRenderedPageBreak/>
              <w:t>FOCUS CAPABILITIES</w:t>
            </w:r>
          </w:p>
        </w:tc>
      </w:tr>
      <w:tr w:rsidR="00AC50DB" w:rsidRPr="00C978B9" w:rsidTr="00AB1662">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AC50DB" w:rsidRPr="00C978B9" w:rsidRDefault="00AC50DB" w:rsidP="00AB1662">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AC50DB" w:rsidRPr="00C978B9" w:rsidRDefault="00AC50DB" w:rsidP="00AB1662">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AC50DB" w:rsidRDefault="00AC50DB" w:rsidP="00AB1662">
            <w:pPr>
              <w:pStyle w:val="TableText"/>
              <w:keepNext/>
              <w:rPr>
                <w:b/>
              </w:rPr>
            </w:pPr>
          </w:p>
        </w:tc>
        <w:tc>
          <w:tcPr>
            <w:tcW w:w="4770" w:type="dxa"/>
            <w:tcBorders>
              <w:bottom w:val="single" w:sz="12" w:space="0" w:color="auto"/>
            </w:tcBorders>
            <w:shd w:val="clear" w:color="auto" w:fill="BCBEC0"/>
          </w:tcPr>
          <w:p w:rsidR="00AC50DB" w:rsidRDefault="00AC50DB" w:rsidP="00AB1662">
            <w:pPr>
              <w:pStyle w:val="TableText"/>
              <w:keepNext/>
              <w:rPr>
                <w:b/>
              </w:rPr>
            </w:pPr>
            <w:r>
              <w:rPr>
                <w:b/>
              </w:rPr>
              <w:t>Behavioural indicators</w:t>
            </w:r>
          </w:p>
        </w:tc>
        <w:tc>
          <w:tcPr>
            <w:tcW w:w="1606" w:type="dxa"/>
            <w:tcBorders>
              <w:bottom w:val="single" w:sz="12" w:space="0" w:color="auto"/>
            </w:tcBorders>
            <w:shd w:val="clear" w:color="auto" w:fill="BCBEC0"/>
          </w:tcPr>
          <w:p w:rsidR="00AC50DB" w:rsidRDefault="00AC50DB" w:rsidP="00AB1662">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Manage Reform and Change</w:t>
            </w:r>
          </w:p>
          <w:p w:rsidR="002D336D" w:rsidRPr="00A8226F" w:rsidRDefault="000411F6" w:rsidP="000411F6">
            <w:pPr>
              <w:pStyle w:val="TableText"/>
              <w:keepNext/>
              <w:rPr>
                <w:b/>
              </w:rPr>
            </w:pPr>
            <w:r>
              <w:t>Support, promote and champion change, and assist others to engage with change</w:t>
            </w:r>
          </w:p>
        </w:tc>
        <w:tc>
          <w:tcPr>
            <w:tcW w:w="4770" w:type="dxa"/>
            <w:tcBorders>
              <w:bottom w:val="single" w:sz="4" w:space="0" w:color="BCBEC0"/>
            </w:tcBorders>
          </w:tcPr>
          <w:p w:rsidR="002D336D" w:rsidRDefault="002D336D" w:rsidP="002D336D">
            <w:pPr>
              <w:pStyle w:val="TableBullet"/>
            </w:pPr>
            <w:r>
              <w:t>Clarify the purpose and benefits of continuous improvement for staff and provide coaching and leadership in times of uncertainty</w:t>
            </w:r>
          </w:p>
          <w:p w:rsidR="002D336D" w:rsidRDefault="002D336D" w:rsidP="002D336D">
            <w:pPr>
              <w:pStyle w:val="TableBullet"/>
            </w:pPr>
            <w:r>
              <w:t>Assist others to address emerging challenges and risks and generate support for change initiatives</w:t>
            </w:r>
          </w:p>
          <w:p w:rsidR="002D336D" w:rsidRDefault="002D336D" w:rsidP="002D336D">
            <w:pPr>
              <w:pStyle w:val="TableBullet"/>
            </w:pPr>
            <w:r>
              <w:t>Translate change initiatives into practical strategies and explain these to staff, and their role in implementing them</w:t>
            </w:r>
          </w:p>
          <w:p w:rsidR="002D336D" w:rsidRDefault="002D336D" w:rsidP="002D336D">
            <w:pPr>
              <w:pStyle w:val="TableBullet"/>
            </w:pPr>
            <w:r>
              <w:t>Implement structured change management processes to identify and develop responses to cultural barriers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3927AE" w:rsidRDefault="003927AE"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Communicate Effectively</w:t>
            </w:r>
          </w:p>
        </w:tc>
        <w:tc>
          <w:tcPr>
            <w:tcW w:w="4770" w:type="dxa"/>
            <w:tcBorders>
              <w:bottom w:val="single" w:sz="4" w:space="0" w:color="BCBEC0"/>
            </w:tcBorders>
          </w:tcPr>
          <w:p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Work Collaboratively</w:t>
            </w:r>
          </w:p>
        </w:tc>
        <w:tc>
          <w:tcPr>
            <w:tcW w:w="4770" w:type="dxa"/>
            <w:tcBorders>
              <w:bottom w:val="single" w:sz="4" w:space="0" w:color="BCBEC0"/>
            </w:tcBorders>
          </w:tcPr>
          <w:p w:rsidR="002B5704"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Deliver Results</w:t>
            </w:r>
          </w:p>
        </w:tc>
        <w:tc>
          <w:tcPr>
            <w:tcW w:w="4770" w:type="dxa"/>
            <w:tcBorders>
              <w:bottom w:val="single" w:sz="4" w:space="0" w:color="BCBEC0"/>
            </w:tcBorders>
          </w:tcPr>
          <w:p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Think and Solve Problems</w:t>
            </w:r>
          </w:p>
        </w:tc>
        <w:tc>
          <w:tcPr>
            <w:tcW w:w="4770" w:type="dxa"/>
            <w:tcBorders>
              <w:bottom w:val="single" w:sz="4" w:space="0" w:color="BCBEC0"/>
            </w:tcBorders>
          </w:tcPr>
          <w:p w:rsidR="002B5704" w:rsidRDefault="002B5704" w:rsidP="002B5704">
            <w:r>
              <w:t>Think, analyse and consider the broader context to develop practical solutions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bl>
    <w:p w:rsidR="00AC50DB" w:rsidRDefault="00AC50DB">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AC50DB" w:rsidRPr="00803E47" w:rsidTr="00AB1662">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AC50DB" w:rsidRPr="00803E47" w:rsidRDefault="00AC50DB" w:rsidP="00AB1662">
            <w:pPr>
              <w:pStyle w:val="TableTextWhite0"/>
              <w:keepNext/>
              <w:jc w:val="both"/>
            </w:pPr>
            <w:r>
              <w:rPr>
                <w:sz w:val="24"/>
                <w:szCs w:val="24"/>
              </w:rPr>
              <w:lastRenderedPageBreak/>
              <w:t>COMPLEMENTARY</w:t>
            </w:r>
            <w:r w:rsidRPr="00051E80">
              <w:rPr>
                <w:sz w:val="24"/>
                <w:szCs w:val="24"/>
              </w:rPr>
              <w:t xml:space="preserve"> CAPABILITIES</w:t>
            </w:r>
          </w:p>
        </w:tc>
      </w:tr>
      <w:tr w:rsidR="00AC50DB" w:rsidRPr="00C978B9" w:rsidTr="00AB1662">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AC50DB" w:rsidRPr="00C978B9" w:rsidRDefault="00AC50DB" w:rsidP="00AB1662">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AC50DB" w:rsidRPr="00C978B9" w:rsidRDefault="00AC50DB" w:rsidP="00AB1662">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AC50DB" w:rsidRDefault="00AC50DB" w:rsidP="00AB1662">
            <w:pPr>
              <w:pStyle w:val="TableText"/>
              <w:keepNext/>
              <w:rPr>
                <w:b/>
              </w:rPr>
            </w:pPr>
          </w:p>
        </w:tc>
        <w:tc>
          <w:tcPr>
            <w:tcW w:w="4770" w:type="dxa"/>
            <w:tcBorders>
              <w:bottom w:val="single" w:sz="12" w:space="0" w:color="auto"/>
            </w:tcBorders>
            <w:shd w:val="clear" w:color="auto" w:fill="BCBEC0"/>
          </w:tcPr>
          <w:p w:rsidR="00AC50DB" w:rsidRDefault="00AC50DB" w:rsidP="00AB1662">
            <w:pPr>
              <w:pStyle w:val="TableText"/>
              <w:keepNext/>
              <w:rPr>
                <w:b/>
              </w:rPr>
            </w:pPr>
            <w:r>
              <w:rPr>
                <w:b/>
              </w:rPr>
              <w:t>Description</w:t>
            </w:r>
          </w:p>
        </w:tc>
        <w:tc>
          <w:tcPr>
            <w:tcW w:w="1606" w:type="dxa"/>
            <w:tcBorders>
              <w:bottom w:val="single" w:sz="12" w:space="0" w:color="auto"/>
            </w:tcBorders>
            <w:shd w:val="clear" w:color="auto" w:fill="BCBEC0"/>
          </w:tcPr>
          <w:p w:rsidR="00AC50DB" w:rsidRDefault="00AC50DB" w:rsidP="00AB1662">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2F2" w:rsidRDefault="008772F2" w:rsidP="00BB532F">
      <w:pPr>
        <w:spacing w:after="0" w:line="240" w:lineRule="auto"/>
      </w:pPr>
      <w:r>
        <w:separator/>
      </w:r>
    </w:p>
  </w:endnote>
  <w:endnote w:type="continuationSeparator" w:id="0">
    <w:p w:rsidR="008772F2" w:rsidRDefault="008772F2"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Project Management Office</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2F2" w:rsidRDefault="008772F2" w:rsidP="00BB532F">
      <w:pPr>
        <w:spacing w:after="0" w:line="240" w:lineRule="auto"/>
      </w:pPr>
      <w:r>
        <w:separator/>
      </w:r>
    </w:p>
  </w:footnote>
  <w:footnote w:type="continuationSeparator" w:id="0">
    <w:p w:rsidR="008772F2" w:rsidRDefault="008772F2"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Project Management Office</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F27F6"/>
    <w:multiLevelType w:val="hybridMultilevel"/>
    <w:tmpl w:val="6C0209E2"/>
    <w:lvl w:ilvl="0" w:tplc="F41A31F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872497"/>
    <w:multiLevelType w:val="hybridMultilevel"/>
    <w:tmpl w:val="5888C60A"/>
    <w:lvl w:ilvl="0" w:tplc="F41A31F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6A54B5"/>
    <w:multiLevelType w:val="hybridMultilevel"/>
    <w:tmpl w:val="EE862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0"/>
  </w:num>
  <w:num w:numId="6">
    <w:abstractNumId w:val="0"/>
  </w:num>
  <w:num w:numId="7">
    <w:abstractNumId w:val="0"/>
  </w:num>
  <w:num w:numId="8">
    <w:abstractNumId w:val="0"/>
  </w:num>
  <w:num w:numId="9">
    <w:abstractNumId w:val="0"/>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67D11"/>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2E0787"/>
    <w:rsid w:val="00300C40"/>
    <w:rsid w:val="00301747"/>
    <w:rsid w:val="00325E9D"/>
    <w:rsid w:val="00327F5C"/>
    <w:rsid w:val="00336011"/>
    <w:rsid w:val="00340ADC"/>
    <w:rsid w:val="00343491"/>
    <w:rsid w:val="00345199"/>
    <w:rsid w:val="00346D51"/>
    <w:rsid w:val="00351826"/>
    <w:rsid w:val="00351C3F"/>
    <w:rsid w:val="00351D50"/>
    <w:rsid w:val="00361F4E"/>
    <w:rsid w:val="00372512"/>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93913"/>
    <w:rsid w:val="005A397B"/>
    <w:rsid w:val="005B10E1"/>
    <w:rsid w:val="005B5053"/>
    <w:rsid w:val="005C7AF5"/>
    <w:rsid w:val="005D4AF1"/>
    <w:rsid w:val="005D71EA"/>
    <w:rsid w:val="005E5394"/>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772F2"/>
    <w:rsid w:val="00894A73"/>
    <w:rsid w:val="00895190"/>
    <w:rsid w:val="008A0EBB"/>
    <w:rsid w:val="008A13AC"/>
    <w:rsid w:val="008B2BE2"/>
    <w:rsid w:val="008B74C1"/>
    <w:rsid w:val="008C0B4D"/>
    <w:rsid w:val="008C37C8"/>
    <w:rsid w:val="008D7766"/>
    <w:rsid w:val="008E08E3"/>
    <w:rsid w:val="008F150C"/>
    <w:rsid w:val="008F23E9"/>
    <w:rsid w:val="00900D4D"/>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50DB"/>
    <w:rsid w:val="00AC742D"/>
    <w:rsid w:val="00AC7DC9"/>
    <w:rsid w:val="00AE14D7"/>
    <w:rsid w:val="00AF01AC"/>
    <w:rsid w:val="00AF3FE7"/>
    <w:rsid w:val="00AF7D0C"/>
    <w:rsid w:val="00B0574B"/>
    <w:rsid w:val="00B10AB7"/>
    <w:rsid w:val="00B13795"/>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45427"/>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0BCE"/>
    <w:rsid w:val="00F31B35"/>
    <w:rsid w:val="00F339CD"/>
    <w:rsid w:val="00F33A43"/>
    <w:rsid w:val="00F41650"/>
    <w:rsid w:val="00F47143"/>
    <w:rsid w:val="00F83D95"/>
    <w:rsid w:val="00F9569D"/>
    <w:rsid w:val="00FC306C"/>
    <w:rsid w:val="00FC6457"/>
    <w:rsid w:val="00FC6ECA"/>
    <w:rsid w:val="00FD3076"/>
    <w:rsid w:val="00FD46BA"/>
    <w:rsid w:val="00FD65C5"/>
    <w:rsid w:val="00FE1CBC"/>
    <w:rsid w:val="00FE2E58"/>
    <w:rsid w:val="00FE45FA"/>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5d97d8597f4e4672"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A4685970</value>
    </field>
    <field name="Objective-Title">
      <value order="0">Executive - Director, Project Management Office 301020 F</value>
    </field>
    <field name="Objective-Description">
      <value order="0"/>
    </field>
    <field name="Objective-CreationStamp">
      <value order="0">2020-06-26T03:56:52Z</value>
    </field>
    <field name="Objective-IsApproved">
      <value order="0">false</value>
    </field>
    <field name="Objective-IsPublished">
      <value order="0">false</value>
    </field>
    <field name="Objective-DatePublished">
      <value order="0"/>
    </field>
    <field name="Objective-ModificationStamp">
      <value order="0">2020-11-01T23:59:19Z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vA8444028</value>
    </field>
    <field name="Objective-Version">
      <value order="0">1.3</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EB7202B-1072-4E27-AD95-9B803C45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33</TotalTime>
  <Pages>7</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8</cp:revision>
  <dcterms:created xsi:type="dcterms:W3CDTF">2020-06-26T04:56:00Z</dcterms:created>
  <dcterms:modified xsi:type="dcterms:W3CDTF">2020-11-01T23:59:00Z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A4685970</vt:lpwstr>
  </property>
  <property fmtid="{D5CDD505-2E9C-101B-9397-08002B2CF9AE}" pid="4" name="Objective-Title">
    <vt:lpwstr>Executive - Director, Project Management Office 301020 F</vt:lpwstr>
  </property>
  <property fmtid="{D5CDD505-2E9C-101B-9397-08002B2CF9AE}" pid="5" name="Objective-Description">
    <vt:lpwstr/>
  </property>
  <property fmtid="{D5CDD505-2E9C-101B-9397-08002B2CF9AE}" pid="6" name="Objective-CreationStamp">
    <vt:filetime>2020-07-03T03:52:18Z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2020-11-01T23:59:19Z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vA8444028</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