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CB5F0F"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CB5F0F" w:rsidRPr="00FC13A3" w:rsidRDefault="00CB5F0F" w:rsidP="00C60D72">
            <w:pPr>
              <w:pStyle w:val="TableTextWhite"/>
              <w:rPr>
                <w:b/>
              </w:rPr>
            </w:pPr>
            <w:r>
              <w:rPr>
                <w:b/>
              </w:rPr>
              <w:t>Senior Executive Work Level Standards</w:t>
            </w:r>
          </w:p>
        </w:tc>
        <w:tc>
          <w:tcPr>
            <w:tcW w:w="6831" w:type="dxa"/>
          </w:tcPr>
          <w:p w:rsidR="00CB5F0F" w:rsidRDefault="00CB5F0F" w:rsidP="00C60D72">
            <w:pPr>
              <w:pStyle w:val="TableTextWhite"/>
            </w:pPr>
            <w:r>
              <w:t>Work Contribution Stream: Regulatory/Compliance</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03 July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Investigations leads and directs the investigations function to achieve compliance and enforcement outcomes designed to improve industry or marketplace performance, safety and/or understanding of rights and responsibilities.</w:t>
      </w:r>
    </w:p>
    <w:p w:rsidR="003927AE" w:rsidRPr="00172DFE" w:rsidRDefault="003927AE" w:rsidP="00172DFE">
      <w:pPr>
        <w:tabs>
          <w:tab w:val="left" w:pos="2925"/>
        </w:tabs>
        <w:rPr>
          <w:rStyle w:val="Heading1Char"/>
        </w:rPr>
      </w:pPr>
      <w:r w:rsidRPr="00172DFE">
        <w:rPr>
          <w:rStyle w:val="Heading1Char"/>
        </w:rPr>
        <w:t>Key accountabilities</w:t>
      </w:r>
    </w:p>
    <w:p w:rsidR="00CB5F0F" w:rsidRPr="00CB5F0F" w:rsidRDefault="007E77DC" w:rsidP="00CB5F0F">
      <w:pPr>
        <w:pStyle w:val="ListParagraph"/>
        <w:numPr>
          <w:ilvl w:val="0"/>
          <w:numId w:val="11"/>
        </w:numPr>
        <w:tabs>
          <w:tab w:val="left" w:pos="2925"/>
        </w:tabs>
        <w:rPr>
          <w:rFonts w:cs="Arial"/>
        </w:rPr>
      </w:pPr>
      <w:r>
        <w:t>Lead and manage a team of specialists to undertake timely, targeted and responsive compliance and enforcement activities, intelligence gathering and investigations</w:t>
      </w:r>
    </w:p>
    <w:p w:rsidR="00CB5F0F" w:rsidRPr="00CB5F0F" w:rsidRDefault="007E77DC" w:rsidP="00CB5F0F">
      <w:pPr>
        <w:pStyle w:val="ListParagraph"/>
        <w:numPr>
          <w:ilvl w:val="0"/>
          <w:numId w:val="11"/>
        </w:numPr>
        <w:tabs>
          <w:tab w:val="left" w:pos="2925"/>
        </w:tabs>
        <w:rPr>
          <w:rFonts w:cs="Arial"/>
        </w:rPr>
      </w:pPr>
      <w:r>
        <w:t>Oversee the development of high quality and transparent investigative policies and procedures to enable efficient and effective investigation of compliance with statutory or regulatory requirements and support any consequential enforcement activity</w:t>
      </w:r>
    </w:p>
    <w:p w:rsidR="00CB5F0F" w:rsidRPr="00CB5F0F" w:rsidRDefault="007E77DC" w:rsidP="00CB5F0F">
      <w:pPr>
        <w:pStyle w:val="ListParagraph"/>
        <w:numPr>
          <w:ilvl w:val="0"/>
          <w:numId w:val="11"/>
        </w:numPr>
        <w:tabs>
          <w:tab w:val="left" w:pos="2925"/>
        </w:tabs>
        <w:rPr>
          <w:rFonts w:cs="Arial"/>
        </w:rPr>
      </w:pPr>
      <w:r>
        <w:t>Provide timely, expert, strategic and tactical advice to executive stakeholders on critical issues arising from investigations to enable informed decision making</w:t>
      </w:r>
    </w:p>
    <w:p w:rsidR="00CB5F0F" w:rsidRPr="00CB5F0F" w:rsidRDefault="007E77DC" w:rsidP="00CB5F0F">
      <w:pPr>
        <w:pStyle w:val="ListParagraph"/>
        <w:numPr>
          <w:ilvl w:val="0"/>
          <w:numId w:val="11"/>
        </w:numPr>
        <w:tabs>
          <w:tab w:val="left" w:pos="2925"/>
        </w:tabs>
        <w:rPr>
          <w:rFonts w:cs="Arial"/>
        </w:rPr>
      </w:pPr>
      <w:r>
        <w:t>Provide investigative support, assistance and guidance in relation to enforcement, audit and surveillance functions in specific areas of regulation/legislation administered by the Agency</w:t>
      </w:r>
    </w:p>
    <w:p w:rsidR="003927AE" w:rsidRPr="00CB5F0F" w:rsidRDefault="007E77DC" w:rsidP="00CB5F0F">
      <w:pPr>
        <w:pStyle w:val="ListParagraph"/>
        <w:numPr>
          <w:ilvl w:val="0"/>
          <w:numId w:val="11"/>
        </w:numPr>
        <w:tabs>
          <w:tab w:val="left" w:pos="2925"/>
        </w:tabs>
        <w:rPr>
          <w:rFonts w:cs="Arial"/>
        </w:rPr>
      </w:pPr>
      <w:r>
        <w:t>Provide expert strategic advice and review on issues papers, draft legislation and policy reviews to ensure that operational issues are appropriately considered</w:t>
      </w:r>
    </w:p>
    <w:p w:rsidR="003927AE" w:rsidRPr="00614552" w:rsidRDefault="003927AE" w:rsidP="003927AE">
      <w:pPr>
        <w:tabs>
          <w:tab w:val="left" w:pos="2925"/>
        </w:tabs>
        <w:rPr>
          <w:rStyle w:val="Heading1Char"/>
        </w:rPr>
      </w:pPr>
      <w:r w:rsidRPr="00614552">
        <w:rPr>
          <w:rStyle w:val="Heading1Char"/>
        </w:rPr>
        <w:t>Key challenges</w:t>
      </w:r>
    </w:p>
    <w:p w:rsidR="00CB5F0F" w:rsidRPr="00CB5F0F" w:rsidRDefault="007E77DC" w:rsidP="00CB5F0F">
      <w:pPr>
        <w:pStyle w:val="ListParagraph"/>
        <w:numPr>
          <w:ilvl w:val="0"/>
          <w:numId w:val="11"/>
        </w:numPr>
        <w:tabs>
          <w:tab w:val="left" w:pos="2925"/>
        </w:tabs>
        <w:rPr>
          <w:rFonts w:ascii="Georgia" w:hAnsi="Georgia"/>
        </w:rPr>
      </w:pPr>
      <w:r>
        <w:t>Making assessments on complex and significant matters underpinned by multiple pieces of legislation, to ensure recommendations and decisions are correct, legally defensible and deliver fair outcomes</w:t>
      </w:r>
    </w:p>
    <w:p w:rsidR="003927AE" w:rsidRPr="00CB5F0F" w:rsidRDefault="007E77DC" w:rsidP="00CB5F0F">
      <w:pPr>
        <w:pStyle w:val="ListParagraph"/>
        <w:numPr>
          <w:ilvl w:val="0"/>
          <w:numId w:val="11"/>
        </w:numPr>
        <w:tabs>
          <w:tab w:val="left" w:pos="2925"/>
        </w:tabs>
        <w:rPr>
          <w:rFonts w:ascii="Georgia" w:hAnsi="Georgia"/>
        </w:rPr>
      </w:pPr>
      <w:r>
        <w:t>Achieving balance between the need for sensitive management of investigations and outcomes which attract significant public and media interest and the value of harnessing the media to enhance compliance outcomes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CB5F0F" w:rsidRDefault="003927AE" w:rsidP="003927AE">
            <w:pPr>
              <w:pStyle w:val="TableText"/>
              <w:numPr>
                <w:ilvl w:val="0"/>
                <w:numId w:val="3"/>
              </w:numPr>
            </w:pPr>
            <w:r>
              <w:t>Provide expert advice and make recommendations on investigation matters to influence organisational decisions and actions</w:t>
            </w:r>
          </w:p>
          <w:p w:rsidR="003927AE" w:rsidRPr="00A15CDB" w:rsidRDefault="003927AE" w:rsidP="003927AE">
            <w:pPr>
              <w:pStyle w:val="TableText"/>
              <w:numPr>
                <w:ilvl w:val="0"/>
                <w:numId w:val="3"/>
              </w:numPr>
            </w:pPr>
            <w:r>
              <w:t>Report on progress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Cluster Directors, Investigations and professionals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advice to contribute to decision making and strategic direction in the formulation of Cluster strategies, policies and solutions, and information sharing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on critical issues relating to matters of legislation, regulation and investigation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CB5F0F" w:rsidRDefault="003927AE" w:rsidP="003927AE">
            <w:pPr>
              <w:pStyle w:val="TableText"/>
              <w:numPr>
                <w:ilvl w:val="0"/>
                <w:numId w:val="3"/>
              </w:numPr>
            </w:pPr>
            <w:r>
              <w:t>Lead, direct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to conduct joint investigations, maintain currency,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Providers of Law Enforcement/ Prosecutors of Law</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Engage to deliver successful outcomes which enhance regulatory and compliance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 or Industry representative groups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Instigate and leverage regular dialogue to improve understanding of legislation and regulations enforced by the program, and consult regarding proposed changes to regulations or processes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Regulators and Enforcement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develop collaborative relationships and partnerships to enhance compliance and investigative outcomes for the Agency</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lastRenderedPageBreak/>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CB5F0F" w:rsidP="00DF2209">
            <w:pPr>
              <w:keepNext/>
            </w:pPr>
            <w:r w:rsidRPr="00C978B9">
              <w:rPr>
                <w:noProof/>
                <w:lang w:eastAsia="en-AU"/>
              </w:rPr>
              <w:drawing>
                <wp:inline distT="0" distB="0" distL="0" distR="0" wp14:anchorId="239CE5C5" wp14:editId="552769E4">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Create a culture that encourages and supports openness, persistence and genuine debate around critical issues</w:t>
            </w:r>
          </w:p>
          <w:p w:rsidR="002D336D" w:rsidRPr="00AA57E3" w:rsidRDefault="002D336D" w:rsidP="002D336D">
            <w:pPr>
              <w:pStyle w:val="TableBullet"/>
            </w:pPr>
            <w:r>
              <w:t>Provide clear exposition and argument for agreed positions while remaining open to valid suggestions for change</w:t>
            </w:r>
          </w:p>
          <w:p w:rsidR="002D336D" w:rsidRPr="00AA57E3" w:rsidRDefault="002D336D" w:rsidP="002D336D">
            <w:pPr>
              <w:pStyle w:val="TableBullet"/>
            </w:pPr>
            <w:r>
              <w:t>Raise critical issues and make tough decisions</w:t>
            </w:r>
          </w:p>
          <w:p w:rsidR="002D336D" w:rsidRPr="00AA57E3" w:rsidRDefault="002D336D" w:rsidP="002D336D">
            <w:pPr>
              <w:pStyle w:val="TableBullet"/>
            </w:pPr>
            <w:r>
              <w:t>Respond to significant, complex and novel challenges with a high level of resilience and persistence</w:t>
            </w:r>
          </w:p>
          <w:p w:rsidR="002D336D" w:rsidRPr="00AA57E3" w:rsidRDefault="002D336D" w:rsidP="002D336D">
            <w:pPr>
              <w:pStyle w:val="TableBullet"/>
            </w:pPr>
            <w:r>
              <w:t>Consistently use a range of strategies to remain composed and calm and act as a stabilising influence even in the most challenging situations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Model the highest standards of ethical and professional behaviour and reinforce their use</w:t>
            </w:r>
          </w:p>
          <w:p w:rsidR="002D336D" w:rsidRDefault="002D336D" w:rsidP="002D336D">
            <w:pPr>
              <w:pStyle w:val="TableBullet"/>
            </w:pPr>
            <w:r>
              <w:t>Represent the organisation in an honest, ethical and professional way and set an example for others to follow</w:t>
            </w:r>
          </w:p>
          <w:p w:rsidR="002D336D" w:rsidRDefault="002D336D" w:rsidP="002D336D">
            <w:pPr>
              <w:pStyle w:val="TableBullet"/>
            </w:pPr>
            <w:r>
              <w:t>Promote a culture of integrity and professionalism within the organisation and in dealings external to government</w:t>
            </w:r>
          </w:p>
          <w:p w:rsidR="002D336D" w:rsidRDefault="002D336D" w:rsidP="002D336D">
            <w:pPr>
              <w:pStyle w:val="TableBullet"/>
            </w:pPr>
            <w:r>
              <w:t>Monitor ethical practices, standards and systems and reinforce their use</w:t>
            </w:r>
          </w:p>
          <w:p w:rsidR="002D336D"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CB5F0F" w:rsidRDefault="00CB5F0F">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B5F0F" w:rsidRPr="00803E47" w:rsidTr="00F42FEB">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B5F0F" w:rsidRPr="00803E47" w:rsidRDefault="00CB5F0F" w:rsidP="00F42FEB">
            <w:pPr>
              <w:pStyle w:val="TableTextWhite0"/>
              <w:keepNext/>
              <w:jc w:val="both"/>
            </w:pPr>
            <w:r w:rsidRPr="00051E80">
              <w:rPr>
                <w:sz w:val="24"/>
                <w:szCs w:val="24"/>
              </w:rPr>
              <w:lastRenderedPageBreak/>
              <w:t>FOCUS CAPABILITIES</w:t>
            </w:r>
          </w:p>
        </w:tc>
      </w:tr>
      <w:tr w:rsidR="00CB5F0F" w:rsidRPr="00C978B9" w:rsidTr="00F42FE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B5F0F" w:rsidRPr="00C978B9" w:rsidRDefault="00CB5F0F" w:rsidP="00F42FEB">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B5F0F" w:rsidRPr="00C978B9" w:rsidRDefault="00CB5F0F" w:rsidP="00F42FE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B5F0F" w:rsidRDefault="00CB5F0F" w:rsidP="00F42FEB">
            <w:pPr>
              <w:pStyle w:val="TableText"/>
              <w:keepNext/>
              <w:rPr>
                <w:b/>
              </w:rPr>
            </w:pPr>
          </w:p>
        </w:tc>
        <w:tc>
          <w:tcPr>
            <w:tcW w:w="4770" w:type="dxa"/>
            <w:tcBorders>
              <w:bottom w:val="single" w:sz="12" w:space="0" w:color="auto"/>
            </w:tcBorders>
            <w:shd w:val="clear" w:color="auto" w:fill="BCBEC0"/>
          </w:tcPr>
          <w:p w:rsidR="00CB5F0F" w:rsidRDefault="00CB5F0F" w:rsidP="00F42FEB">
            <w:pPr>
              <w:pStyle w:val="TableText"/>
              <w:keepNext/>
              <w:rPr>
                <w:b/>
              </w:rPr>
            </w:pPr>
            <w:r>
              <w:rPr>
                <w:b/>
              </w:rPr>
              <w:t>Behavioural indicators</w:t>
            </w:r>
          </w:p>
        </w:tc>
        <w:tc>
          <w:tcPr>
            <w:tcW w:w="1606" w:type="dxa"/>
            <w:tcBorders>
              <w:bottom w:val="single" w:sz="12" w:space="0" w:color="auto"/>
            </w:tcBorders>
            <w:shd w:val="clear" w:color="auto" w:fill="BCBEC0"/>
          </w:tcPr>
          <w:p w:rsidR="00CB5F0F" w:rsidRDefault="00CB5F0F" w:rsidP="00F42FEB">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CB5F0F" w:rsidP="00DF2209">
            <w:pPr>
              <w:keepNext/>
            </w:pPr>
            <w:r w:rsidRPr="00C978B9">
              <w:rPr>
                <w:noProof/>
                <w:lang w:eastAsia="en-AU"/>
              </w:rPr>
              <w:drawing>
                <wp:inline distT="0" distB="0" distL="0" distR="0" wp14:anchorId="599B74FC" wp14:editId="3BE3D88A">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CB5F0F" w:rsidP="00DF2209">
            <w:pPr>
              <w:keepNext/>
            </w:pPr>
            <w:r w:rsidRPr="00C978B9">
              <w:rPr>
                <w:noProof/>
                <w:lang w:eastAsia="en-AU"/>
              </w:rPr>
              <w:drawing>
                <wp:inline distT="0" distB="0" distL="0" distR="0" wp14:anchorId="53F838CA" wp14:editId="74A76E3A">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lastRenderedPageBreak/>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lastRenderedPageBreak/>
              <w:t xml:space="preserve">Undertake objective, critical analysis to draw </w:t>
            </w:r>
            <w:r>
              <w:lastRenderedPageBreak/>
              <w:t>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CB5F0F" w:rsidP="00DF2209">
            <w:pPr>
              <w:keepNext/>
            </w:pPr>
            <w:r w:rsidRPr="00C978B9">
              <w:rPr>
                <w:noProof/>
                <w:lang w:eastAsia="en-AU"/>
              </w:rPr>
              <w:drawing>
                <wp:inline distT="0" distB="0" distL="0" distR="0" wp14:anchorId="140AD403" wp14:editId="7E742F95">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Champion the use of innovative technologies in the workplace</w:t>
            </w:r>
          </w:p>
          <w:p w:rsidR="002D336D" w:rsidRPr="00AA57E3" w:rsidRDefault="002D336D" w:rsidP="002D336D">
            <w:pPr>
              <w:pStyle w:val="TableBullet"/>
            </w:pPr>
            <w:r>
              <w:t>Actively manage risk to ensure compliance with cyber security and acceptable use of technology policies</w:t>
            </w:r>
          </w:p>
          <w:p w:rsidR="002D336D" w:rsidRPr="00AA57E3" w:rsidRDefault="002D336D" w:rsidP="002D336D">
            <w:pPr>
              <w:pStyle w:val="TableBullet"/>
            </w:pPr>
            <w:r>
              <w:t>Keep up to date with emerging technologies and technology trends to understand how their application can support business outcomes</w:t>
            </w:r>
          </w:p>
          <w:p w:rsidR="002D336D" w:rsidRPr="00AA57E3" w:rsidRDefault="002D336D" w:rsidP="002D336D">
            <w:pPr>
              <w:pStyle w:val="TableBullet"/>
            </w:pPr>
            <w:r>
              <w:t>Seek advice from appropriate subject-matter experts on using technologies to achieve business strategies and outcomes</w:t>
            </w:r>
          </w:p>
          <w:p w:rsidR="002D336D" w:rsidRPr="00AA57E3" w:rsidRDefault="002D336D" w:rsidP="002D336D">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CB5F0F" w:rsidP="00DF2209">
            <w:pPr>
              <w:keepNext/>
            </w:pPr>
            <w:r w:rsidRPr="00C978B9">
              <w:rPr>
                <w:noProof/>
                <w:lang w:eastAsia="en-AU"/>
              </w:rPr>
              <w:drawing>
                <wp:inline distT="0" distB="0" distL="0" distR="0" wp14:anchorId="128D708D" wp14:editId="57239EF6">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Refine roles and responsibilities over time to achieve better business outcomes</w:t>
            </w:r>
          </w:p>
          <w:p w:rsidR="002D336D" w:rsidRPr="00AA57E3" w:rsidRDefault="002D336D" w:rsidP="002D336D">
            <w:pPr>
              <w:pStyle w:val="TableBullet"/>
            </w:pPr>
            <w:r>
              <w:t>Recognise talent, develop team capability and undertake succession planning</w:t>
            </w:r>
          </w:p>
          <w:p w:rsidR="002D336D" w:rsidRPr="00AA57E3" w:rsidRDefault="002D336D" w:rsidP="002D336D">
            <w:pPr>
              <w:pStyle w:val="TableBullet"/>
            </w:pPr>
            <w:r>
              <w:t>Coach and mentor staff and encourage professional development and continuous learning</w:t>
            </w:r>
          </w:p>
          <w:p w:rsidR="002D336D" w:rsidRPr="00AA57E3" w:rsidRDefault="002D336D" w:rsidP="002D336D">
            <w:pPr>
              <w:pStyle w:val="TableBullet"/>
            </w:pPr>
            <w:r>
              <w:t>Prioritise addressing and resolving team and individual performance issues and ensure that this approach is cascaded throughout the organisation</w:t>
            </w:r>
          </w:p>
          <w:p w:rsidR="002D336D" w:rsidRPr="00AA57E3" w:rsidRDefault="002D336D" w:rsidP="002D336D">
            <w:pPr>
              <w:pStyle w:val="TableBullet"/>
            </w:pPr>
            <w:r>
              <w:t xml:space="preserve">Implement performance development frameworks to align workforce capability with the organisation’s current and future priorities and </w:t>
            </w:r>
            <w:r>
              <w:lastRenderedPageBreak/>
              <w:t>objectives</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Self</w:t>
            </w:r>
          </w:p>
        </w:tc>
        <w:tc>
          <w:tcPr>
            <w:tcW w:w="4770" w:type="dxa"/>
            <w:tcBorders>
              <w:bottom w:val="single" w:sz="4" w:space="0" w:color="BCBEC0"/>
            </w:tcBorders>
          </w:tcPr>
          <w:p w:rsidR="002B5704" w:rsidRPr="00AA57E3"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CB5F0F" w:rsidRDefault="00CB5F0F">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B5F0F" w:rsidRPr="00803E47" w:rsidTr="00F42FEB">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B5F0F" w:rsidRPr="00803E47" w:rsidRDefault="00CB5F0F" w:rsidP="00F42FEB">
            <w:pPr>
              <w:pStyle w:val="TableTextWhite0"/>
              <w:keepNext/>
              <w:jc w:val="both"/>
            </w:pPr>
            <w:r>
              <w:rPr>
                <w:sz w:val="24"/>
                <w:szCs w:val="24"/>
              </w:rPr>
              <w:lastRenderedPageBreak/>
              <w:t>COMPLEMENTARY</w:t>
            </w:r>
            <w:r w:rsidRPr="00051E80">
              <w:rPr>
                <w:sz w:val="24"/>
                <w:szCs w:val="24"/>
              </w:rPr>
              <w:t xml:space="preserve"> CAPABILITIES</w:t>
            </w:r>
          </w:p>
        </w:tc>
      </w:tr>
      <w:tr w:rsidR="00CB5F0F" w:rsidRPr="00C978B9" w:rsidTr="00F42FE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B5F0F" w:rsidRPr="00C978B9" w:rsidRDefault="00CB5F0F" w:rsidP="00F42FEB">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B5F0F" w:rsidRPr="00C978B9" w:rsidRDefault="00CB5F0F" w:rsidP="00F42FE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B5F0F" w:rsidRDefault="00CB5F0F" w:rsidP="00F42FEB">
            <w:pPr>
              <w:pStyle w:val="TableText"/>
              <w:keepNext/>
              <w:rPr>
                <w:b/>
              </w:rPr>
            </w:pPr>
          </w:p>
        </w:tc>
        <w:tc>
          <w:tcPr>
            <w:tcW w:w="4770" w:type="dxa"/>
            <w:tcBorders>
              <w:bottom w:val="single" w:sz="12" w:space="0" w:color="auto"/>
            </w:tcBorders>
            <w:shd w:val="clear" w:color="auto" w:fill="BCBEC0"/>
          </w:tcPr>
          <w:p w:rsidR="00CB5F0F" w:rsidRDefault="00CB5F0F" w:rsidP="00F42FEB">
            <w:pPr>
              <w:pStyle w:val="TableText"/>
              <w:keepNext/>
              <w:rPr>
                <w:b/>
              </w:rPr>
            </w:pPr>
            <w:r>
              <w:rPr>
                <w:b/>
              </w:rPr>
              <w:t>Description</w:t>
            </w:r>
          </w:p>
        </w:tc>
        <w:tc>
          <w:tcPr>
            <w:tcW w:w="1606" w:type="dxa"/>
            <w:tcBorders>
              <w:bottom w:val="single" w:sz="12" w:space="0" w:color="auto"/>
            </w:tcBorders>
            <w:shd w:val="clear" w:color="auto" w:fill="BCBEC0"/>
          </w:tcPr>
          <w:p w:rsidR="00CB5F0F" w:rsidRDefault="00CB5F0F" w:rsidP="00F42FEB">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Inspire Direction and Purpose</w:t>
            </w:r>
          </w:p>
        </w:tc>
        <w:tc>
          <w:tcPr>
            <w:tcW w:w="4770" w:type="dxa"/>
            <w:tcBorders>
              <w:bottom w:val="single" w:sz="4" w:space="0" w:color="BCBEC0"/>
            </w:tcBorders>
          </w:tcPr>
          <w:p w:rsidR="002B5704" w:rsidRPr="00AA57E3"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2F9" w:rsidRDefault="00AA42F9" w:rsidP="00BB532F">
      <w:pPr>
        <w:spacing w:after="0" w:line="240" w:lineRule="auto"/>
      </w:pPr>
      <w:r>
        <w:separator/>
      </w:r>
    </w:p>
  </w:endnote>
  <w:endnote w:type="continuationSeparator" w:id="0">
    <w:p w:rsidR="00AA42F9" w:rsidRDefault="00AA42F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Investigations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2F9" w:rsidRDefault="00AA42F9" w:rsidP="00BB532F">
      <w:pPr>
        <w:spacing w:after="0" w:line="240" w:lineRule="auto"/>
      </w:pPr>
      <w:r>
        <w:separator/>
      </w:r>
    </w:p>
  </w:footnote>
  <w:footnote w:type="continuationSeparator" w:id="0">
    <w:p w:rsidR="00AA42F9" w:rsidRDefault="00AA42F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Investigations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7264CA"/>
    <w:multiLevelType w:val="hybridMultilevel"/>
    <w:tmpl w:val="8BCC9BB4"/>
    <w:lvl w:ilvl="0" w:tplc="9C6C77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80459"/>
    <w:multiLevelType w:val="hybridMultilevel"/>
    <w:tmpl w:val="03A08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716579"/>
    <w:multiLevelType w:val="hybridMultilevel"/>
    <w:tmpl w:val="4D74C1E4"/>
    <w:lvl w:ilvl="0" w:tplc="9C6C77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2689"/>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2559"/>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53D15"/>
    <w:rsid w:val="00361F4E"/>
    <w:rsid w:val="00372A99"/>
    <w:rsid w:val="00373737"/>
    <w:rsid w:val="00375289"/>
    <w:rsid w:val="00377118"/>
    <w:rsid w:val="003927AE"/>
    <w:rsid w:val="0039395B"/>
    <w:rsid w:val="003A1185"/>
    <w:rsid w:val="003A27C7"/>
    <w:rsid w:val="003A2AFA"/>
    <w:rsid w:val="003A3538"/>
    <w:rsid w:val="003B0F42"/>
    <w:rsid w:val="003B403A"/>
    <w:rsid w:val="003C00FD"/>
    <w:rsid w:val="003C031F"/>
    <w:rsid w:val="003C2846"/>
    <w:rsid w:val="003C5EB3"/>
    <w:rsid w:val="003D3521"/>
    <w:rsid w:val="003D5227"/>
    <w:rsid w:val="003E2663"/>
    <w:rsid w:val="003F78EC"/>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A42F9"/>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B5F0F"/>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d36e192b6cb9485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A4685960</value>
    </field>
    <field name="Objective-Title">
      <value order="0">Executive - Director, Investigations 301020 F</value>
    </field>
    <field name="Objective-Description">
      <value order="0"/>
    </field>
    <field name="Objective-CreationStamp">
      <value order="0">2020-07-03T03:47:31Z</value>
    </field>
    <field name="Objective-IsApproved">
      <value order="0">false</value>
    </field>
    <field name="Objective-IsPublished">
      <value order="0">false</value>
    </field>
    <field name="Objective-DatePublished">
      <value order="0"/>
    </field>
    <field name="Objective-ModificationStamp">
      <value order="0">2020-11-01T23:53:20Z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vA8443989</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A2010CF-32F8-4B22-A5C7-0C12C59B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11</TotalTime>
  <Pages>7</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5</cp:revision>
  <dcterms:created xsi:type="dcterms:W3CDTF">2020-07-03T04:47:00Z</dcterms:created>
  <dcterms:modified xsi:type="dcterms:W3CDTF">2020-11-01T23:53:00Z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A4685960</vt:lpwstr>
  </property>
  <property fmtid="{D5CDD505-2E9C-101B-9397-08002B2CF9AE}" pid="4" name="Objective-Title">
    <vt:lpwstr>Executive - Director, Investigations 301020 F</vt:lpwstr>
  </property>
  <property fmtid="{D5CDD505-2E9C-101B-9397-08002B2CF9AE}" pid="5" name="Objective-Description">
    <vt:lpwstr/>
  </property>
  <property fmtid="{D5CDD505-2E9C-101B-9397-08002B2CF9AE}" pid="6" name="Objective-CreationStamp">
    <vt:filetime>2020-07-03T03:51:14Z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2020-11-01T23:53:20Z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vA8443989</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