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E09F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3E09F4" w:rsidRPr="00FC13A3" w:rsidRDefault="003E09F4" w:rsidP="00C60D72">
            <w:pPr>
              <w:pStyle w:val="TableTextWhite"/>
              <w:rPr>
                <w:b/>
              </w:rPr>
            </w:pPr>
            <w:r>
              <w:rPr>
                <w:b/>
              </w:rPr>
              <w:t>Senior Executive Work Level Standards</w:t>
            </w:r>
          </w:p>
        </w:tc>
        <w:tc>
          <w:tcPr>
            <w:tcW w:w="6831" w:type="dxa"/>
          </w:tcPr>
          <w:p w:rsidR="003E09F4" w:rsidRDefault="003E09F4"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26 June 2020</w:t>
            </w:r>
          </w:p>
        </w:tc>
      </w:tr>
    </w:tbl>
    <w:p w:rsidR="00477EB1" w:rsidRPr="00E55704" w:rsidRDefault="00477EB1" w:rsidP="00265C1A">
      <w:pPr>
        <w:tabs>
          <w:tab w:val="left" w:pos="2925"/>
        </w:tabs>
        <w:spacing w:after="60" w:line="240" w:lineRule="auto"/>
        <w:rPr>
          <w:rFonts w:cs="Arial"/>
        </w:rPr>
      </w:pPr>
    </w:p>
    <w:p w:rsidR="003927AE" w:rsidRPr="00F47143" w:rsidRDefault="003927AE" w:rsidP="00265C1A">
      <w:pPr>
        <w:tabs>
          <w:tab w:val="left" w:pos="2925"/>
        </w:tabs>
        <w:spacing w:after="60" w:line="240" w:lineRule="auto"/>
        <w:rPr>
          <w:rFonts w:ascii="Georgia" w:hAnsi="Georgia"/>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Executive Support leads and directs the provision of high</w:t>
      </w:r>
      <w:r w:rsidR="00265C1A">
        <w:t>-</w:t>
      </w:r>
      <w:r>
        <w:t>quality executive management and services to support and contribute to the achievement of key organisational priorities.</w:t>
      </w:r>
    </w:p>
    <w:p w:rsidR="003927AE" w:rsidRPr="00172DFE" w:rsidRDefault="003927AE" w:rsidP="00172DFE">
      <w:pPr>
        <w:tabs>
          <w:tab w:val="left" w:pos="2925"/>
        </w:tabs>
        <w:rPr>
          <w:rStyle w:val="Heading1Char"/>
        </w:rPr>
      </w:pPr>
      <w:r w:rsidRPr="00172DFE">
        <w:rPr>
          <w:rStyle w:val="Heading1Char"/>
        </w:rPr>
        <w:t>Key accountabilities</w:t>
      </w:r>
    </w:p>
    <w:p w:rsidR="00265C1A" w:rsidRPr="00265C1A" w:rsidRDefault="007E77DC" w:rsidP="00265C1A">
      <w:pPr>
        <w:pStyle w:val="ListParagraph"/>
        <w:numPr>
          <w:ilvl w:val="0"/>
          <w:numId w:val="11"/>
        </w:numPr>
        <w:tabs>
          <w:tab w:val="left" w:pos="2925"/>
        </w:tabs>
        <w:rPr>
          <w:rFonts w:cs="Arial"/>
        </w:rPr>
      </w:pPr>
      <w:r>
        <w:t>Establish appropriate governance arrangements for Senior Executives, council and advisory groups and provide appropriate executive support to facilitate the effective functioning of the Executive and advisory groups</w:t>
      </w:r>
    </w:p>
    <w:p w:rsidR="00265C1A" w:rsidRPr="00265C1A" w:rsidRDefault="007E77DC" w:rsidP="00265C1A">
      <w:pPr>
        <w:pStyle w:val="ListParagraph"/>
        <w:numPr>
          <w:ilvl w:val="0"/>
          <w:numId w:val="11"/>
        </w:numPr>
        <w:tabs>
          <w:tab w:val="left" w:pos="2925"/>
        </w:tabs>
        <w:rPr>
          <w:rFonts w:cs="Arial"/>
        </w:rPr>
      </w:pPr>
      <w:r>
        <w:t>Manage and execute a range of special projects on behalf of the Executive to ensure the efficient achievement of the project outcomes while fostering high levels of collaboration and information transfer amongst the project participants and supporting the management and impact of any subsequent changes and improvements</w:t>
      </w:r>
    </w:p>
    <w:p w:rsidR="00265C1A" w:rsidRPr="00265C1A" w:rsidRDefault="007E77DC" w:rsidP="00265C1A">
      <w:pPr>
        <w:pStyle w:val="ListParagraph"/>
        <w:numPr>
          <w:ilvl w:val="0"/>
          <w:numId w:val="11"/>
        </w:numPr>
        <w:tabs>
          <w:tab w:val="left" w:pos="2925"/>
        </w:tabs>
        <w:rPr>
          <w:rFonts w:cs="Arial"/>
        </w:rPr>
      </w:pPr>
      <w:r>
        <w:t>Maintain an awareness of, identify and investigate emerging corporate issues which may require the direct intervention of the Senior Executives and ensure that they are properly briefed and advised</w:t>
      </w:r>
    </w:p>
    <w:p w:rsidR="00265C1A" w:rsidRPr="00265C1A" w:rsidRDefault="007E77DC" w:rsidP="00265C1A">
      <w:pPr>
        <w:pStyle w:val="ListParagraph"/>
        <w:numPr>
          <w:ilvl w:val="0"/>
          <w:numId w:val="11"/>
        </w:numPr>
        <w:tabs>
          <w:tab w:val="left" w:pos="2925"/>
        </w:tabs>
        <w:rPr>
          <w:rFonts w:cs="Arial"/>
        </w:rPr>
      </w:pPr>
      <w:r>
        <w:t>Oversight, manage and monitor the allocated budget in line with legal and government requirements</w:t>
      </w:r>
    </w:p>
    <w:p w:rsidR="00265C1A" w:rsidRPr="00265C1A" w:rsidRDefault="007E77DC" w:rsidP="00265C1A">
      <w:pPr>
        <w:pStyle w:val="ListParagraph"/>
        <w:numPr>
          <w:ilvl w:val="0"/>
          <w:numId w:val="11"/>
        </w:numPr>
        <w:tabs>
          <w:tab w:val="left" w:pos="2925"/>
        </w:tabs>
        <w:rPr>
          <w:rFonts w:cs="Arial"/>
        </w:rPr>
      </w:pPr>
      <w:r>
        <w:t>Prepare, receive and/or coordinate briefings, agendas, minutes, correspondence, speech notes, discussion papers, reports and other documentation as required to support the effective performance of the Executive, council and advisory groups</w:t>
      </w:r>
    </w:p>
    <w:p w:rsidR="003927AE" w:rsidRPr="00265C1A" w:rsidRDefault="007E77DC" w:rsidP="00265C1A">
      <w:pPr>
        <w:pStyle w:val="ListParagraph"/>
        <w:numPr>
          <w:ilvl w:val="0"/>
          <w:numId w:val="11"/>
        </w:numPr>
        <w:tabs>
          <w:tab w:val="left" w:pos="2925"/>
        </w:tabs>
        <w:rPr>
          <w:rFonts w:cs="Arial"/>
        </w:rPr>
      </w:pPr>
      <w:r>
        <w:t xml:space="preserve">Assist with the development of, and action the business plan for the Executive to achieve the organisational objectives and to maintain the established strategic direction for the </w:t>
      </w:r>
      <w:r w:rsidR="00265C1A">
        <w:t>organisation</w:t>
      </w:r>
    </w:p>
    <w:p w:rsidR="003927AE" w:rsidRPr="00614552" w:rsidRDefault="003927AE" w:rsidP="003927AE">
      <w:pPr>
        <w:tabs>
          <w:tab w:val="left" w:pos="2925"/>
        </w:tabs>
        <w:rPr>
          <w:rStyle w:val="Heading1Char"/>
        </w:rPr>
      </w:pPr>
      <w:r w:rsidRPr="00614552">
        <w:rPr>
          <w:rStyle w:val="Heading1Char"/>
        </w:rPr>
        <w:t>Key challenges</w:t>
      </w:r>
    </w:p>
    <w:p w:rsidR="00265C1A" w:rsidRPr="00265C1A" w:rsidRDefault="007E77DC" w:rsidP="00265C1A">
      <w:pPr>
        <w:pStyle w:val="ListParagraph"/>
        <w:numPr>
          <w:ilvl w:val="0"/>
          <w:numId w:val="11"/>
        </w:numPr>
        <w:tabs>
          <w:tab w:val="left" w:pos="2925"/>
        </w:tabs>
        <w:spacing w:after="120" w:line="240" w:lineRule="auto"/>
        <w:ind w:left="714" w:hanging="357"/>
        <w:rPr>
          <w:rFonts w:ascii="Georgia" w:hAnsi="Georgia"/>
        </w:rPr>
      </w:pPr>
      <w:r>
        <w:t>Identifying, analysing and communicating pertinent and complex contextual issues, competing interests and priorities to ensure that the Executive are fully informed</w:t>
      </w:r>
    </w:p>
    <w:p w:rsidR="003927AE" w:rsidRPr="00265C1A" w:rsidRDefault="007E77DC" w:rsidP="00265C1A">
      <w:pPr>
        <w:pStyle w:val="ListParagraph"/>
        <w:numPr>
          <w:ilvl w:val="0"/>
          <w:numId w:val="11"/>
        </w:numPr>
        <w:tabs>
          <w:tab w:val="left" w:pos="2925"/>
        </w:tabs>
        <w:spacing w:after="120" w:line="240" w:lineRule="auto"/>
        <w:ind w:left="714" w:hanging="357"/>
        <w:rPr>
          <w:rFonts w:ascii="Georgia" w:hAnsi="Georgia"/>
        </w:rPr>
      </w:pPr>
      <w:r>
        <w:t>Brokering joint action and consensus across multiple stakeholders in an environment of finite resources and time constraints with the common goal to successfully deliver best practice executive support services</w:t>
      </w: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D970ED" w:rsidRDefault="00D970ED"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Consult with Ministerial staff, providing accurate information and timely responses to sensitive or contentious issues on behalf of the Executive and Senior Executives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265C1A" w:rsidRDefault="003927AE" w:rsidP="003927AE">
            <w:pPr>
              <w:pStyle w:val="TableText"/>
              <w:numPr>
                <w:ilvl w:val="0"/>
                <w:numId w:val="3"/>
              </w:numPr>
            </w:pPr>
            <w:r>
              <w:t>Provide executive support and process advice to support implementation of strategic and business plans, agreed projects and new initiatives</w:t>
            </w:r>
          </w:p>
          <w:p w:rsidR="00265C1A" w:rsidRDefault="003927AE" w:rsidP="003927AE">
            <w:pPr>
              <w:pStyle w:val="TableText"/>
              <w:numPr>
                <w:ilvl w:val="0"/>
                <w:numId w:val="3"/>
              </w:numPr>
            </w:pPr>
            <w:r>
              <w:t>Set objectives, performance requirements and quality standards and manage performance and development</w:t>
            </w:r>
          </w:p>
          <w:p w:rsidR="00265C1A" w:rsidRDefault="003927AE" w:rsidP="003927AE">
            <w:pPr>
              <w:pStyle w:val="TableText"/>
              <w:numPr>
                <w:ilvl w:val="0"/>
                <w:numId w:val="3"/>
              </w:numPr>
            </w:pPr>
            <w:r>
              <w:t>Provide leadership, guidance and support</w:t>
            </w:r>
          </w:p>
          <w:p w:rsidR="00265C1A" w:rsidRDefault="003927AE" w:rsidP="003927AE">
            <w:pPr>
              <w:pStyle w:val="TableText"/>
              <w:numPr>
                <w:ilvl w:val="0"/>
                <w:numId w:val="3"/>
              </w:numPr>
            </w:pPr>
            <w:r>
              <w:t>Represent the Executive in discussions establishing the appropriateness and timing of the Executive’s involvement</w:t>
            </w:r>
          </w:p>
          <w:p w:rsidR="003927AE" w:rsidRPr="00A15CDB" w:rsidRDefault="003927AE" w:rsidP="003927AE">
            <w:pPr>
              <w:pStyle w:val="TableText"/>
              <w:numPr>
                <w:ilvl w:val="0"/>
                <w:numId w:val="3"/>
              </w:numPr>
            </w:pPr>
            <w:r>
              <w:t>Facilitate information flow and effective feedback</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265C1A" w:rsidRDefault="003927AE" w:rsidP="003927AE">
            <w:pPr>
              <w:pStyle w:val="TableText"/>
              <w:numPr>
                <w:ilvl w:val="0"/>
                <w:numId w:val="3"/>
              </w:numPr>
            </w:pPr>
            <w:r>
              <w:t>Identify emerging issues/risks and their implications and propose solutions</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265C1A"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performance and development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Develop and maintain effective working relationships to expedite the information transfer and feedback</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across NSW Government generally, and with similar agencies across other jurisdictions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Community/Industry 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relationships to ensure that the Executive is apprised of emerging issues and to facilitate information flow and effective feedback</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maintain effective working relationships and communication channels to facilitate information flow and effective feedback</w:t>
            </w:r>
          </w:p>
        </w:tc>
      </w:tr>
    </w:tbl>
    <w:p w:rsidR="003927AE" w:rsidRDefault="003927AE" w:rsidP="003927AE"/>
    <w:p w:rsidR="0045283B" w:rsidRDefault="0045283B" w:rsidP="003927AE">
      <w:pPr>
        <w:pStyle w:val="Heading1"/>
      </w:pPr>
      <w:r>
        <w:br w:type="page"/>
      </w:r>
    </w:p>
    <w:p w:rsidR="003927AE" w:rsidRDefault="003927AE" w:rsidP="003927AE">
      <w:pPr>
        <w:pStyle w:val="Heading1"/>
        <w:rPr>
          <w:sz w:val="28"/>
        </w:rPr>
      </w:pPr>
      <w:r w:rsidRPr="00614552">
        <w:lastRenderedPageBreak/>
        <w:t>Role dimensions</w:t>
      </w:r>
    </w:p>
    <w:p w:rsidR="003927AE" w:rsidRPr="00614552" w:rsidRDefault="003927AE" w:rsidP="003927AE">
      <w:pPr>
        <w:pStyle w:val="Heading2"/>
      </w:pPr>
      <w:r w:rsidRPr="00614552">
        <w:t>Decision making</w:t>
      </w:r>
    </w:p>
    <w:p w:rsidR="003927AE" w:rsidRPr="00603D53" w:rsidRDefault="00191825"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191825"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191825"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191825"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265C1A" w:rsidRDefault="00265C1A">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265C1A" w:rsidRPr="00803E47" w:rsidTr="008C291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65C1A" w:rsidRPr="00803E47" w:rsidRDefault="00265C1A" w:rsidP="008C2917">
            <w:pPr>
              <w:pStyle w:val="TableTextWhite0"/>
              <w:keepNext/>
              <w:jc w:val="both"/>
            </w:pPr>
            <w:r w:rsidRPr="00051E80">
              <w:rPr>
                <w:sz w:val="24"/>
                <w:szCs w:val="24"/>
              </w:rPr>
              <w:lastRenderedPageBreak/>
              <w:t>FOCUS CAPABILITIES</w:t>
            </w:r>
          </w:p>
        </w:tc>
      </w:tr>
      <w:tr w:rsidR="00265C1A" w:rsidRPr="00C978B9" w:rsidTr="008C291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65C1A" w:rsidRPr="00C978B9" w:rsidRDefault="00265C1A" w:rsidP="008C291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65C1A" w:rsidRPr="00C978B9" w:rsidRDefault="00265C1A" w:rsidP="008C291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65C1A" w:rsidRDefault="00265C1A" w:rsidP="008C2917">
            <w:pPr>
              <w:pStyle w:val="TableText"/>
              <w:keepNext/>
              <w:rPr>
                <w:b/>
              </w:rPr>
            </w:pPr>
          </w:p>
        </w:tc>
        <w:tc>
          <w:tcPr>
            <w:tcW w:w="4770" w:type="dxa"/>
            <w:tcBorders>
              <w:bottom w:val="single" w:sz="12" w:space="0" w:color="auto"/>
            </w:tcBorders>
            <w:shd w:val="clear" w:color="auto" w:fill="BCBEC0"/>
          </w:tcPr>
          <w:p w:rsidR="00265C1A" w:rsidRDefault="00265C1A" w:rsidP="008C2917">
            <w:pPr>
              <w:pStyle w:val="TableText"/>
              <w:keepNext/>
              <w:rPr>
                <w:b/>
              </w:rPr>
            </w:pPr>
            <w:r>
              <w:rPr>
                <w:b/>
              </w:rPr>
              <w:t>Behavioural indicators</w:t>
            </w:r>
          </w:p>
        </w:tc>
        <w:tc>
          <w:tcPr>
            <w:tcW w:w="1606" w:type="dxa"/>
            <w:tcBorders>
              <w:bottom w:val="single" w:sz="12" w:space="0" w:color="auto"/>
            </w:tcBorders>
            <w:shd w:val="clear" w:color="auto" w:fill="BCBEC0"/>
          </w:tcPr>
          <w:p w:rsidR="00265C1A" w:rsidRDefault="00265C1A" w:rsidP="008C2917">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Establish a culture and supporting systems that facilitate information sharing, communication and learning across the sector</w:t>
            </w:r>
          </w:p>
          <w:p w:rsidR="002D336D" w:rsidRDefault="002D336D" w:rsidP="002D336D">
            <w:pPr>
              <w:pStyle w:val="TableBullet"/>
            </w:pPr>
            <w:r>
              <w:t>Publicly celebrate the successful outcomes of collaboration</w:t>
            </w:r>
          </w:p>
          <w:p w:rsidR="002D336D" w:rsidRDefault="002D336D" w:rsidP="002D336D">
            <w:pPr>
              <w:pStyle w:val="TableBullet"/>
            </w:pPr>
            <w:r>
              <w:t>Seek out and facilitate opportunities to engage and collaborate with stakeholders to develop solutions across the organisation, government and other jurisdictions</w:t>
            </w:r>
          </w:p>
          <w:p w:rsidR="002D336D"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 xml:space="preserve">Anticipate and assess the impact of changes, including government policy and economic </w:t>
            </w:r>
            <w:r>
              <w:lastRenderedPageBreak/>
              <w:t>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265C1A" w:rsidRDefault="00265C1A">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265C1A" w:rsidRPr="00803E47" w:rsidTr="008C291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65C1A" w:rsidRPr="00803E47" w:rsidRDefault="00265C1A" w:rsidP="008C2917">
            <w:pPr>
              <w:pStyle w:val="TableTextWhite0"/>
              <w:keepNext/>
              <w:jc w:val="both"/>
            </w:pPr>
            <w:r w:rsidRPr="00051E80">
              <w:rPr>
                <w:sz w:val="24"/>
                <w:szCs w:val="24"/>
              </w:rPr>
              <w:lastRenderedPageBreak/>
              <w:t>FOCUS CAPABILITIES</w:t>
            </w:r>
          </w:p>
        </w:tc>
      </w:tr>
      <w:tr w:rsidR="00265C1A" w:rsidRPr="00C978B9" w:rsidTr="008C291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65C1A" w:rsidRPr="00C978B9" w:rsidRDefault="00265C1A" w:rsidP="008C291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65C1A" w:rsidRPr="00C978B9" w:rsidRDefault="00265C1A" w:rsidP="008C291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65C1A" w:rsidRDefault="00265C1A" w:rsidP="008C2917">
            <w:pPr>
              <w:pStyle w:val="TableText"/>
              <w:keepNext/>
              <w:rPr>
                <w:b/>
              </w:rPr>
            </w:pPr>
          </w:p>
        </w:tc>
        <w:tc>
          <w:tcPr>
            <w:tcW w:w="4770" w:type="dxa"/>
            <w:tcBorders>
              <w:bottom w:val="single" w:sz="12" w:space="0" w:color="auto"/>
            </w:tcBorders>
            <w:shd w:val="clear" w:color="auto" w:fill="BCBEC0"/>
          </w:tcPr>
          <w:p w:rsidR="00265C1A" w:rsidRDefault="00265C1A" w:rsidP="008C2917">
            <w:pPr>
              <w:pStyle w:val="TableText"/>
              <w:keepNext/>
              <w:rPr>
                <w:b/>
              </w:rPr>
            </w:pPr>
            <w:r>
              <w:rPr>
                <w:b/>
              </w:rPr>
              <w:t>Behavioural indicators</w:t>
            </w:r>
          </w:p>
        </w:tc>
        <w:tc>
          <w:tcPr>
            <w:tcW w:w="1606" w:type="dxa"/>
            <w:tcBorders>
              <w:bottom w:val="single" w:sz="12" w:space="0" w:color="auto"/>
            </w:tcBorders>
            <w:shd w:val="clear" w:color="auto" w:fill="BCBEC0"/>
          </w:tcPr>
          <w:p w:rsidR="00265C1A" w:rsidRDefault="00265C1A" w:rsidP="008C2917">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22" w:rsidRDefault="00992522" w:rsidP="00BB532F">
      <w:pPr>
        <w:spacing w:after="0" w:line="240" w:lineRule="auto"/>
      </w:pPr>
      <w:r>
        <w:separator/>
      </w:r>
    </w:p>
  </w:endnote>
  <w:endnote w:type="continuationSeparator" w:id="0">
    <w:p w:rsidR="00992522" w:rsidRDefault="0099252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Executive Support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22" w:rsidRDefault="00992522" w:rsidP="00BB532F">
      <w:pPr>
        <w:spacing w:after="0" w:line="240" w:lineRule="auto"/>
      </w:pPr>
      <w:r>
        <w:separator/>
      </w:r>
    </w:p>
  </w:footnote>
  <w:footnote w:type="continuationSeparator" w:id="0">
    <w:p w:rsidR="00992522" w:rsidRDefault="0099252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Executive Support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C63A0"/>
    <w:multiLevelType w:val="hybridMultilevel"/>
    <w:tmpl w:val="6CDA7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46C20"/>
    <w:multiLevelType w:val="hybridMultilevel"/>
    <w:tmpl w:val="CAE085D2"/>
    <w:lvl w:ilvl="0" w:tplc="497ED12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610057"/>
    <w:multiLevelType w:val="hybridMultilevel"/>
    <w:tmpl w:val="7E8EA258"/>
    <w:lvl w:ilvl="0" w:tplc="497ED12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3EFA"/>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1825"/>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5C1A"/>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09F4"/>
    <w:rsid w:val="003E2663"/>
    <w:rsid w:val="00411F3E"/>
    <w:rsid w:val="0041525E"/>
    <w:rsid w:val="00416D58"/>
    <w:rsid w:val="004203B4"/>
    <w:rsid w:val="00436621"/>
    <w:rsid w:val="00442732"/>
    <w:rsid w:val="00443BCB"/>
    <w:rsid w:val="0045283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96474"/>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095"/>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2522"/>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9731E"/>
    <w:rsid w:val="00BA759E"/>
    <w:rsid w:val="00BB12E9"/>
    <w:rsid w:val="00BB532F"/>
    <w:rsid w:val="00BC162D"/>
    <w:rsid w:val="00BC2FE4"/>
    <w:rsid w:val="00BC4FD8"/>
    <w:rsid w:val="00BD3D53"/>
    <w:rsid w:val="00BD4DDA"/>
    <w:rsid w:val="00BE4EAE"/>
    <w:rsid w:val="00BE6E24"/>
    <w:rsid w:val="00BF278B"/>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970ED"/>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4FF8"/>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2a12057c754e4cba"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A4685958</value>
    </field>
    <field name="Objective-Title">
      <value order="0">Executive - Director, Executive Support 301020 F</value>
    </field>
    <field name="Objective-Description">
      <value order="0"/>
    </field>
    <field name="Objective-CreationStamp">
      <value order="0">2020-06-26T00:47:38Z</value>
    </field>
    <field name="Objective-IsApproved">
      <value order="0">false</value>
    </field>
    <field name="Objective-IsPublished">
      <value order="0">false</value>
    </field>
    <field name="Objective-DatePublished">
      <value order="0"/>
    </field>
    <field name="Objective-ModificationStamp">
      <value order="0">2020-11-01T23:47:06Z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vA8443983</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D0D12BD-F058-47E2-A3BF-EB5ABF77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71</TotalTime>
  <Pages>7</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2020-06-26T01:47:00Z</dcterms:created>
  <dcterms:modified xsi:type="dcterms:W3CDTF">2020-11-01T23:46:00Z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A4685958</vt:lpwstr>
  </property>
  <property fmtid="{D5CDD505-2E9C-101B-9397-08002B2CF9AE}" pid="4" name="Objective-Title">
    <vt:lpwstr>Executive - Director, Executive Support 301020 F</vt:lpwstr>
  </property>
  <property fmtid="{D5CDD505-2E9C-101B-9397-08002B2CF9AE}" pid="5" name="Objective-Description">
    <vt:lpwstr/>
  </property>
  <property fmtid="{D5CDD505-2E9C-101B-9397-08002B2CF9AE}" pid="6" name="Objective-CreationStamp">
    <vt:filetime>2020-07-03T03:50:51Z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2020-11-01T23:47:06Z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vA8443983</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