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92611B"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92611B" w:rsidRPr="00FC13A3" w:rsidRDefault="0092611B" w:rsidP="00C60D72">
            <w:pPr>
              <w:pStyle w:val="TableTextWhite"/>
              <w:rPr>
                <w:b/>
              </w:rPr>
            </w:pPr>
            <w:r>
              <w:rPr>
                <w:b/>
              </w:rPr>
              <w:t>Senior Executive Work Level Standards</w:t>
            </w:r>
          </w:p>
        </w:tc>
        <w:tc>
          <w:tcPr>
            <w:tcW w:w="6831" w:type="dxa"/>
          </w:tcPr>
          <w:p w:rsidR="0092611B" w:rsidRDefault="0092611B" w:rsidP="00C60D72">
            <w:pPr>
              <w:pStyle w:val="TableTextWhite"/>
            </w:pPr>
            <w:r>
              <w:t>Work Contribution Stream: Regulatory/Compliance</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03 July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Compliance leads the delivery of a substantial program of legislative/regulatory/licensing/ investigation and/or enforcement to achieve Agency goals and ensure that practices within the target industries comply with legislated/regulated policy directions.</w:t>
      </w:r>
    </w:p>
    <w:p w:rsidR="003927AE" w:rsidRPr="00172DFE" w:rsidRDefault="003927AE" w:rsidP="00172DFE">
      <w:pPr>
        <w:tabs>
          <w:tab w:val="left" w:pos="2925"/>
        </w:tabs>
        <w:rPr>
          <w:rStyle w:val="Heading1Char"/>
        </w:rPr>
      </w:pPr>
      <w:r w:rsidRPr="00172DFE">
        <w:rPr>
          <w:rStyle w:val="Heading1Char"/>
        </w:rPr>
        <w:t>Key accountabilities</w:t>
      </w:r>
    </w:p>
    <w:p w:rsidR="0092611B" w:rsidRPr="0092611B" w:rsidRDefault="007E77DC" w:rsidP="0092611B">
      <w:pPr>
        <w:pStyle w:val="ListParagraph"/>
        <w:numPr>
          <w:ilvl w:val="0"/>
          <w:numId w:val="11"/>
        </w:numPr>
        <w:tabs>
          <w:tab w:val="left" w:pos="2925"/>
        </w:tabs>
        <w:rPr>
          <w:rFonts w:cs="Arial"/>
        </w:rPr>
      </w:pPr>
      <w:r>
        <w:t>Provide leadership, direction and expert professional advice and support to the Compliance Team in the delivery of high quality professional regulatory and compliance services</w:t>
      </w:r>
    </w:p>
    <w:p w:rsidR="0092611B" w:rsidRPr="0092611B" w:rsidRDefault="007E77DC" w:rsidP="0092611B">
      <w:pPr>
        <w:pStyle w:val="ListParagraph"/>
        <w:numPr>
          <w:ilvl w:val="0"/>
          <w:numId w:val="11"/>
        </w:numPr>
        <w:tabs>
          <w:tab w:val="left" w:pos="2925"/>
        </w:tabs>
        <w:rPr>
          <w:rFonts w:cs="Arial"/>
        </w:rPr>
      </w:pPr>
      <w:r>
        <w:t>Evaluate the overall performance and operational effectiveness of the compliance program by setting expectations, performance goals and quality standards, implementing performance measures and monitoring performance to identify opportunities for continuous improvement</w:t>
      </w:r>
    </w:p>
    <w:p w:rsidR="0092611B" w:rsidRPr="0092611B" w:rsidRDefault="007E77DC" w:rsidP="0092611B">
      <w:pPr>
        <w:pStyle w:val="ListParagraph"/>
        <w:numPr>
          <w:ilvl w:val="0"/>
          <w:numId w:val="11"/>
        </w:numPr>
        <w:tabs>
          <w:tab w:val="left" w:pos="2925"/>
        </w:tabs>
        <w:rPr>
          <w:rFonts w:cs="Arial"/>
        </w:rPr>
      </w:pPr>
      <w:r>
        <w:t>Develop and maintain effective collaboration with other regulatory and compliance programs across the Cluster and sector, to share intelligence and identify innovations which might be leveraged to improve program performance, and explore opportunities to achieve economies in delivery of enforcement activities</w:t>
      </w:r>
    </w:p>
    <w:p w:rsidR="0092611B" w:rsidRPr="0092611B" w:rsidRDefault="007E77DC" w:rsidP="0092611B">
      <w:pPr>
        <w:pStyle w:val="ListParagraph"/>
        <w:numPr>
          <w:ilvl w:val="0"/>
          <w:numId w:val="11"/>
        </w:numPr>
        <w:tabs>
          <w:tab w:val="left" w:pos="2925"/>
        </w:tabs>
        <w:rPr>
          <w:rFonts w:cs="Arial"/>
        </w:rPr>
      </w:pPr>
      <w:r>
        <w:t>Oversee development of communication and education strategies and activities to inform the community and the targeted industries of legislative provisions, regulations, licensing requirements, guidelines, codes, the role of the compliance program; and remedies for breach to optimise levels of industry compliance</w:t>
      </w:r>
    </w:p>
    <w:p w:rsidR="003927AE" w:rsidRPr="0092611B" w:rsidRDefault="007E77DC" w:rsidP="0092611B">
      <w:pPr>
        <w:pStyle w:val="ListParagraph"/>
        <w:numPr>
          <w:ilvl w:val="0"/>
          <w:numId w:val="11"/>
        </w:numPr>
        <w:tabs>
          <w:tab w:val="left" w:pos="2925"/>
        </w:tabs>
        <w:rPr>
          <w:rFonts w:cs="Arial"/>
        </w:rPr>
      </w:pPr>
      <w:r>
        <w:t>Ensure that all material of an evidentiary nature, including correspondence and documentation related to provision of regulatory and compliance activities, enforcement actions, breaches of regulations and reported non-compliance, is registered and managed appropriately to facilitate imposition of breach remedies and/or litigation</w:t>
      </w:r>
    </w:p>
    <w:p w:rsidR="003927AE" w:rsidRPr="00614552" w:rsidRDefault="003927AE" w:rsidP="003927AE">
      <w:pPr>
        <w:tabs>
          <w:tab w:val="left" w:pos="2925"/>
        </w:tabs>
        <w:rPr>
          <w:rStyle w:val="Heading1Char"/>
        </w:rPr>
      </w:pPr>
      <w:r w:rsidRPr="00614552">
        <w:rPr>
          <w:rStyle w:val="Heading1Char"/>
        </w:rPr>
        <w:t>Key challenges</w:t>
      </w:r>
    </w:p>
    <w:p w:rsidR="0092611B" w:rsidRPr="0092611B" w:rsidRDefault="007E77DC" w:rsidP="0092611B">
      <w:pPr>
        <w:pStyle w:val="ListParagraph"/>
        <w:numPr>
          <w:ilvl w:val="0"/>
          <w:numId w:val="11"/>
        </w:numPr>
        <w:tabs>
          <w:tab w:val="left" w:pos="2925"/>
        </w:tabs>
        <w:rPr>
          <w:rFonts w:ascii="Georgia" w:hAnsi="Georgia"/>
        </w:rPr>
      </w:pPr>
      <w:r>
        <w:t>Achieving a balance between proactive education, advice and change management and the reactive enforcement of penalties for breach or non-compliance</w:t>
      </w:r>
    </w:p>
    <w:p w:rsidR="003927AE" w:rsidRPr="0092611B" w:rsidRDefault="007E77DC" w:rsidP="0092611B">
      <w:pPr>
        <w:pStyle w:val="ListParagraph"/>
        <w:numPr>
          <w:ilvl w:val="0"/>
          <w:numId w:val="11"/>
        </w:numPr>
        <w:tabs>
          <w:tab w:val="left" w:pos="2925"/>
        </w:tabs>
        <w:rPr>
          <w:rFonts w:ascii="Georgia" w:hAnsi="Georgia"/>
        </w:rPr>
      </w:pPr>
      <w:r>
        <w:t>Maintain operational independence and exercise fair and consistent interpretations of legislation and regulations, while recognising that there are significant and substantial implications for operators found to be in breach</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92611B" w:rsidRDefault="003927AE" w:rsidP="003927AE">
            <w:pPr>
              <w:pStyle w:val="TableText"/>
              <w:numPr>
                <w:ilvl w:val="0"/>
                <w:numId w:val="3"/>
              </w:numPr>
            </w:pPr>
            <w:r>
              <w:t xml:space="preserve">Provide expert advice and recommendations on compliance matters to </w:t>
            </w:r>
            <w:r>
              <w:lastRenderedPageBreak/>
              <w:t>improve performance of the compliance program</w:t>
            </w:r>
          </w:p>
          <w:p w:rsidR="0092611B" w:rsidRDefault="003927AE" w:rsidP="003927AE">
            <w:pPr>
              <w:pStyle w:val="TableText"/>
              <w:numPr>
                <w:ilvl w:val="0"/>
                <w:numId w:val="3"/>
              </w:numPr>
            </w:pPr>
            <w:r>
              <w:t>Negotiate program budgets and resource requirements consistent with strategic plans and goals</w:t>
            </w:r>
          </w:p>
          <w:p w:rsidR="003927AE" w:rsidRPr="00A15CDB" w:rsidRDefault="003927AE" w:rsidP="003927AE">
            <w:pPr>
              <w:pStyle w:val="TableText"/>
              <w:numPr>
                <w:ilvl w:val="0"/>
                <w:numId w:val="3"/>
              </w:numPr>
            </w:pPr>
            <w:r>
              <w:t>Report performance of the program and identify emerging issues/risks or potentially sensitive operational or enforcement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Executive</w:t>
            </w:r>
          </w:p>
        </w:tc>
        <w:tc>
          <w:tcPr>
            <w:tcW w:w="7256" w:type="dxa"/>
            <w:tcBorders>
              <w:top w:val="single" w:sz="8" w:space="0" w:color="auto"/>
              <w:bottom w:val="single" w:sz="8" w:space="0" w:color="BCBEC0"/>
            </w:tcBorders>
          </w:tcPr>
          <w:p w:rsidR="0092611B" w:rsidRDefault="003927AE" w:rsidP="003927AE">
            <w:pPr>
              <w:pStyle w:val="TableText"/>
              <w:numPr>
                <w:ilvl w:val="0"/>
                <w:numId w:val="3"/>
              </w:numPr>
            </w:pPr>
            <w:r>
              <w:t>Collaborate and provide advice to contribute to strategic and operational planning activities, budget processes, performance review and executive decision</w:t>
            </w:r>
            <w:r w:rsidR="0092611B">
              <w:t>-</w:t>
            </w:r>
            <w:r>
              <w:t>making processes</w:t>
            </w:r>
          </w:p>
          <w:p w:rsidR="003927AE" w:rsidRPr="00A15CDB" w:rsidRDefault="003927AE" w:rsidP="003927AE">
            <w:pPr>
              <w:pStyle w:val="TableText"/>
              <w:numPr>
                <w:ilvl w:val="0"/>
                <w:numId w:val="3"/>
              </w:numPr>
            </w:pPr>
            <w:r>
              <w:t>Provide expert advice on the level of compliance and opportunities to improve the practicability of legislation and regulation</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92611B"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and manage team performance and development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Legal Services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Access counsel with respect to particular enforcement matters</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of issues,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Community or Industry representative groups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and maintain regular dialogue with community and/or industry groups to improve understanding of legislation and regulations enforced by the program, and consult regarding proposed changes to regulations or processes</w:t>
            </w:r>
          </w:p>
        </w:tc>
      </w:tr>
    </w:tbl>
    <w:p w:rsidR="003927AE" w:rsidRDefault="003927AE" w:rsidP="003927AE">
      <w:pPr>
        <w:pStyle w:val="Heading1"/>
        <w:rPr>
          <w:sz w:val="28"/>
        </w:rPr>
      </w:pPr>
      <w:r w:rsidRPr="00614552">
        <w:t>Role dimensions</w:t>
      </w:r>
    </w:p>
    <w:p w:rsidR="003927AE" w:rsidRPr="00614552" w:rsidRDefault="003927AE" w:rsidP="003927AE">
      <w:pPr>
        <w:pStyle w:val="Heading2"/>
      </w:pPr>
      <w:r w:rsidRPr="00614552">
        <w:t>Decision making</w:t>
      </w:r>
    </w:p>
    <w:p w:rsidR="003927AE" w:rsidRPr="00603D53" w:rsidRDefault="003927AE" w:rsidP="003927AE">
      <w:pPr>
        <w:rPr>
          <w:rFonts w:cs="Arial"/>
          <w:szCs w:val="26"/>
        </w:rPr>
      </w:pPr>
      <w:r>
        <w:t>NA</w:t>
      </w:r>
    </w:p>
    <w:p w:rsidR="003927AE" w:rsidRPr="00614552" w:rsidRDefault="003927AE" w:rsidP="003927AE">
      <w:pPr>
        <w:pStyle w:val="Heading2"/>
      </w:pPr>
      <w:r w:rsidRPr="00614552">
        <w:t>Reporting line</w:t>
      </w:r>
    </w:p>
    <w:p w:rsidR="003927AE" w:rsidRPr="00603D53" w:rsidRDefault="003927AE" w:rsidP="003927AE">
      <w:pPr>
        <w:rPr>
          <w:rFonts w:cs="Arial"/>
          <w:szCs w:val="26"/>
        </w:rPr>
      </w:pPr>
      <w:r>
        <w:t>NA</w:t>
      </w:r>
    </w:p>
    <w:p w:rsidR="003927AE" w:rsidRPr="00614552" w:rsidRDefault="003927AE" w:rsidP="003927AE">
      <w:pPr>
        <w:pStyle w:val="Heading2"/>
      </w:pPr>
      <w:r w:rsidRPr="00614552">
        <w:t>Direct reports</w:t>
      </w:r>
    </w:p>
    <w:p w:rsidR="003927AE" w:rsidRPr="00603D53" w:rsidRDefault="003927AE" w:rsidP="003927AE">
      <w:pPr>
        <w:rPr>
          <w:rFonts w:cs="Arial"/>
          <w:szCs w:val="26"/>
        </w:rPr>
      </w:pPr>
      <w:r>
        <w:t>NA</w:t>
      </w:r>
    </w:p>
    <w:p w:rsidR="003927AE" w:rsidRPr="00614552" w:rsidRDefault="003927AE" w:rsidP="003927AE">
      <w:pPr>
        <w:pStyle w:val="Heading2"/>
      </w:pPr>
      <w:r w:rsidRPr="00614552">
        <w:t>Budget/Expenditure</w:t>
      </w:r>
    </w:p>
    <w:p w:rsidR="003927AE" w:rsidRDefault="003927AE" w:rsidP="003927AE">
      <w:pPr>
        <w:rPr>
          <w:rFonts w:cs="Arial"/>
          <w:szCs w:val="26"/>
        </w:rPr>
      </w:pPr>
      <w:r>
        <w:t>NA</w:t>
      </w:r>
    </w:p>
    <w:p w:rsidR="003927AE" w:rsidRPr="00C978B9" w:rsidRDefault="003927AE" w:rsidP="003927AE">
      <w:pPr>
        <w:pStyle w:val="Heading1"/>
      </w:pPr>
      <w:r w:rsidRPr="00C978B9">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lastRenderedPageBreak/>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92611B" w:rsidP="00DF2209">
            <w:pPr>
              <w:keepNext/>
            </w:pPr>
            <w:r w:rsidRPr="00C978B9">
              <w:rPr>
                <w:noProof/>
                <w:lang w:eastAsia="en-AU"/>
              </w:rPr>
              <w:drawing>
                <wp:inline distT="0" distB="0" distL="0" distR="0" wp14:anchorId="53478BC9" wp14:editId="7ACA8D49">
                  <wp:extent cx="848995" cy="848995"/>
                  <wp:effectExtent l="0" t="0" r="8255" b="8255"/>
                  <wp:docPr id="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Remain composed and calm and act constructively in highly pressured and unpredictable environments</w:t>
            </w:r>
          </w:p>
          <w:p w:rsidR="002D336D" w:rsidRPr="00AA57E3" w:rsidRDefault="002D336D" w:rsidP="002D336D">
            <w:pPr>
              <w:pStyle w:val="TableBullet"/>
            </w:pPr>
            <w:r>
              <w:t>Give frank, honest advice in response to strong contrary views</w:t>
            </w:r>
          </w:p>
          <w:p w:rsidR="002D336D" w:rsidRPr="00AA57E3" w:rsidRDefault="002D336D" w:rsidP="002D336D">
            <w:pPr>
              <w:pStyle w:val="TableBullet"/>
            </w:pPr>
            <w:r>
              <w:t>Accept criticism of own ideas and respond in a thoughtful and considered way</w:t>
            </w:r>
          </w:p>
          <w:p w:rsidR="002D336D" w:rsidRPr="00AA57E3" w:rsidRDefault="002D336D" w:rsidP="002D336D">
            <w:pPr>
              <w:pStyle w:val="TableBullet"/>
            </w:pPr>
            <w:r>
              <w:t>Welcome new challenges and persist in raising and working through novel and difficult issues</w:t>
            </w:r>
          </w:p>
          <w:p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Model the highest standards of ethical and professional behaviour and reinforce their use</w:t>
            </w:r>
          </w:p>
          <w:p w:rsidR="002D336D" w:rsidRDefault="002D336D" w:rsidP="002D336D">
            <w:pPr>
              <w:pStyle w:val="TableBullet"/>
            </w:pPr>
            <w:r>
              <w:t>Represent the organisation in an honest, ethical and professional way and set an example for others to follow</w:t>
            </w:r>
          </w:p>
          <w:p w:rsidR="002D336D" w:rsidRDefault="002D336D" w:rsidP="002D336D">
            <w:pPr>
              <w:pStyle w:val="TableBullet"/>
            </w:pPr>
            <w:r>
              <w:t>Promote a culture of integrity and professionalism within the organisation and in dealings external to government</w:t>
            </w:r>
          </w:p>
          <w:p w:rsidR="002D336D" w:rsidRDefault="002D336D" w:rsidP="002D336D">
            <w:pPr>
              <w:pStyle w:val="TableBullet"/>
            </w:pPr>
            <w:r>
              <w:t>Monitor ethical practices, standards and systems and reinforce their use</w:t>
            </w:r>
          </w:p>
          <w:p w:rsidR="002D336D"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92611B" w:rsidRDefault="0092611B">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2611B" w:rsidRPr="00803E47" w:rsidTr="00C64FFC">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92611B" w:rsidRPr="00803E47" w:rsidRDefault="0092611B" w:rsidP="00C64FFC">
            <w:pPr>
              <w:pStyle w:val="TableTextWhite0"/>
              <w:keepNext/>
              <w:jc w:val="both"/>
            </w:pPr>
            <w:r w:rsidRPr="00051E80">
              <w:rPr>
                <w:sz w:val="24"/>
                <w:szCs w:val="24"/>
              </w:rPr>
              <w:lastRenderedPageBreak/>
              <w:t>FOCUS CAPABILITIES</w:t>
            </w:r>
          </w:p>
        </w:tc>
      </w:tr>
      <w:tr w:rsidR="0092611B" w:rsidRPr="00C978B9" w:rsidTr="00C64FF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92611B" w:rsidRPr="00C978B9" w:rsidRDefault="0092611B" w:rsidP="00C64FFC">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92611B" w:rsidRPr="00C978B9" w:rsidRDefault="0092611B" w:rsidP="00C64FFC">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92611B" w:rsidRDefault="0092611B" w:rsidP="00C64FFC">
            <w:pPr>
              <w:pStyle w:val="TableText"/>
              <w:keepNext/>
              <w:rPr>
                <w:b/>
              </w:rPr>
            </w:pPr>
          </w:p>
        </w:tc>
        <w:tc>
          <w:tcPr>
            <w:tcW w:w="4770" w:type="dxa"/>
            <w:tcBorders>
              <w:bottom w:val="single" w:sz="12" w:space="0" w:color="auto"/>
            </w:tcBorders>
            <w:shd w:val="clear" w:color="auto" w:fill="BCBEC0"/>
          </w:tcPr>
          <w:p w:rsidR="0092611B" w:rsidRDefault="0092611B" w:rsidP="00C64FFC">
            <w:pPr>
              <w:pStyle w:val="TableText"/>
              <w:keepNext/>
              <w:rPr>
                <w:b/>
              </w:rPr>
            </w:pPr>
            <w:r>
              <w:rPr>
                <w:b/>
              </w:rPr>
              <w:t>Behavioural indicators</w:t>
            </w:r>
          </w:p>
        </w:tc>
        <w:tc>
          <w:tcPr>
            <w:tcW w:w="1606" w:type="dxa"/>
            <w:tcBorders>
              <w:bottom w:val="single" w:sz="12" w:space="0" w:color="auto"/>
            </w:tcBorders>
            <w:shd w:val="clear" w:color="auto" w:fill="BCBEC0"/>
          </w:tcPr>
          <w:p w:rsidR="0092611B" w:rsidRDefault="0092611B" w:rsidP="00C64FFC">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92611B" w:rsidP="00DF2209">
            <w:pPr>
              <w:keepNext/>
            </w:pPr>
            <w:r w:rsidRPr="00C978B9">
              <w:rPr>
                <w:noProof/>
                <w:lang w:eastAsia="en-AU"/>
              </w:rPr>
              <w:drawing>
                <wp:inline distT="0" distB="0" distL="0" distR="0" wp14:anchorId="5F6E551B" wp14:editId="26C3C7C6">
                  <wp:extent cx="854016" cy="854016"/>
                  <wp:effectExtent l="0" t="0" r="3810" b="3810"/>
                  <wp:docPr id="12"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Work Collaboratively</w:t>
            </w:r>
          </w:p>
          <w:p w:rsidR="002D336D" w:rsidRPr="00AA57E3" w:rsidRDefault="002D336D" w:rsidP="00A72C86">
            <w:pPr>
              <w:pStyle w:val="TableText"/>
              <w:keepNext/>
            </w:pPr>
            <w:r>
              <w:t>Collaborate with others and value their contribution</w:t>
            </w:r>
          </w:p>
        </w:tc>
        <w:tc>
          <w:tcPr>
            <w:tcW w:w="4770" w:type="dxa"/>
            <w:tcBorders>
              <w:bottom w:val="single" w:sz="4" w:space="0" w:color="BCBEC0"/>
            </w:tcBorders>
          </w:tcPr>
          <w:p w:rsidR="002D336D" w:rsidRPr="00AA57E3" w:rsidRDefault="002D336D" w:rsidP="002D336D">
            <w:pPr>
              <w:pStyle w:val="TableBullet"/>
            </w:pPr>
            <w:r>
              <w:t>Recognise outcomes achieved through effective collaboration between teams</w:t>
            </w:r>
          </w:p>
          <w:p w:rsidR="002D336D" w:rsidRPr="00AA57E3" w:rsidRDefault="002D336D" w:rsidP="002D336D">
            <w:pPr>
              <w:pStyle w:val="TableBullet"/>
            </w:pPr>
            <w:r>
              <w:t>Build cooperation and overcome barriers to information sharing, communication and collaboration across the organisation and across government</w:t>
            </w:r>
          </w:p>
          <w:p w:rsidR="002D336D" w:rsidRPr="00AA57E3" w:rsidRDefault="002D336D" w:rsidP="002D336D">
            <w:pPr>
              <w:pStyle w:val="TableBullet"/>
            </w:pPr>
            <w:r>
              <w:t>Facilitate opportunities to engage and collaborate with stakeholders to develop joint solutions</w:t>
            </w:r>
          </w:p>
          <w:p w:rsidR="002D336D" w:rsidRPr="00AA57E3" w:rsidRDefault="002D336D" w:rsidP="002D336D">
            <w:pPr>
              <w:pStyle w:val="TableBullet"/>
            </w:pPr>
            <w:r>
              <w:t>Network extensively across government and organisations to increase collaboration</w:t>
            </w:r>
          </w:p>
          <w:p w:rsidR="002D336D" w:rsidRPr="00AA57E3" w:rsidRDefault="002D336D" w:rsidP="002D336D">
            <w:pPr>
              <w:pStyle w:val="TableBullet"/>
            </w:pPr>
            <w:r>
              <w:t>Encourage others to use appropriate collaboration approaches and tools, including digital technologies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Influence others with a fair and considered approach and present persuasive counter-arguments</w:t>
            </w:r>
          </w:p>
          <w:p w:rsidR="002D336D" w:rsidRDefault="002D336D" w:rsidP="002D336D">
            <w:pPr>
              <w:pStyle w:val="TableBullet"/>
            </w:pPr>
            <w:r>
              <w:t>Work towards mutually beneficial ‘win-win’ outcomes</w:t>
            </w:r>
          </w:p>
          <w:p w:rsidR="002D336D" w:rsidRDefault="002D336D" w:rsidP="002D336D">
            <w:pPr>
              <w:pStyle w:val="TableBullet"/>
            </w:pPr>
            <w:r>
              <w:t>Show sensitivity and understanding in resolving acute and complex conflicts and differences</w:t>
            </w:r>
          </w:p>
          <w:p w:rsidR="002D336D" w:rsidRDefault="002D336D" w:rsidP="002D336D">
            <w:pPr>
              <w:pStyle w:val="TableBullet"/>
            </w:pPr>
            <w:r>
              <w:t>Identify key stakeholders and gain their support in advance</w:t>
            </w:r>
          </w:p>
          <w:p w:rsidR="002D336D" w:rsidRDefault="002D336D" w:rsidP="002D336D">
            <w:pPr>
              <w:pStyle w:val="TableBullet"/>
            </w:pPr>
            <w:r>
              <w:t>Establish a clear negotiation position based on research, a firm grasp of key issues, likely arguments, points of difference and areas for compromise</w:t>
            </w:r>
          </w:p>
          <w:p w:rsidR="002D336D" w:rsidRDefault="002D336D" w:rsidP="002D336D">
            <w:pPr>
              <w:pStyle w:val="TableBullet"/>
            </w:pPr>
            <w:r>
              <w:t>Anticipate and minimise conflict within the organisation and with external stakeholders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92611B" w:rsidP="00DF2209">
            <w:pPr>
              <w:keepNext/>
            </w:pPr>
            <w:r w:rsidRPr="00C978B9">
              <w:rPr>
                <w:noProof/>
                <w:lang w:eastAsia="en-AU"/>
              </w:rPr>
              <w:drawing>
                <wp:inline distT="0" distB="0" distL="0" distR="0" wp14:anchorId="6F2BDEDC" wp14:editId="01118E05">
                  <wp:extent cx="854015" cy="854015"/>
                  <wp:effectExtent l="0" t="0" r="3810" b="3810"/>
                  <wp:docPr id="1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Think and Solve Problems</w:t>
            </w:r>
          </w:p>
          <w:p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rsidR="002D336D" w:rsidRPr="00AA57E3" w:rsidRDefault="002D336D" w:rsidP="002D336D">
            <w:pPr>
              <w:pStyle w:val="TableBullet"/>
            </w:pPr>
            <w:r>
              <w:t>Undertake objective, critical analysis to draw accurate conclusions that recognise and manage contextual issues</w:t>
            </w:r>
          </w:p>
          <w:p w:rsidR="002D336D" w:rsidRPr="00AA57E3" w:rsidRDefault="002D336D" w:rsidP="002D336D">
            <w:pPr>
              <w:pStyle w:val="TableBullet"/>
            </w:pPr>
            <w:r>
              <w:t>Work through issues, weigh up alternatives and identify the most effective solutions in collaboration with others</w:t>
            </w:r>
          </w:p>
          <w:p w:rsidR="002D336D" w:rsidRPr="00AA57E3" w:rsidRDefault="002D336D" w:rsidP="002D336D">
            <w:pPr>
              <w:pStyle w:val="TableBullet"/>
            </w:pPr>
            <w:r>
              <w:t>Take account of the wider business context when considering options to resolve issues</w:t>
            </w:r>
          </w:p>
          <w:p w:rsidR="002D336D" w:rsidRPr="00AA57E3" w:rsidRDefault="002D336D" w:rsidP="002D336D">
            <w:pPr>
              <w:pStyle w:val="TableBullet"/>
            </w:pPr>
            <w:r>
              <w:t>Explore a range of possibilities and creative alternatives to contribute to system, process and business improvements</w:t>
            </w:r>
          </w:p>
          <w:p w:rsidR="002D336D" w:rsidRPr="00AA57E3" w:rsidRDefault="002D336D" w:rsidP="002D336D">
            <w:pPr>
              <w:pStyle w:val="TableBullet"/>
            </w:pPr>
            <w:r>
              <w:t>Implement systems and processes that are underpinned by high-quality research and analysis</w:t>
            </w:r>
          </w:p>
          <w:p w:rsidR="002D336D" w:rsidRPr="00AA57E3" w:rsidRDefault="002D336D" w:rsidP="002D336D">
            <w:pPr>
              <w:pStyle w:val="TableBullet"/>
            </w:pPr>
            <w:r>
              <w:t>Look for opportunities to design innovative solutions to meet user needs and service demands</w:t>
            </w:r>
          </w:p>
          <w:p w:rsidR="002D336D" w:rsidRPr="00AA57E3" w:rsidRDefault="002D336D" w:rsidP="002D336D">
            <w:pPr>
              <w:pStyle w:val="TableBullet"/>
            </w:pPr>
            <w:r>
              <w:t xml:space="preserve">Evaluate the performance and effectiveness of </w:t>
            </w:r>
            <w:r>
              <w:lastRenderedPageBreak/>
              <w:t>services, policies and programs against clear criteria</w:t>
            </w:r>
          </w:p>
        </w:tc>
        <w:tc>
          <w:tcPr>
            <w:tcW w:w="1606" w:type="dxa"/>
            <w:tcBorders>
              <w:bottom w:val="single" w:sz="4" w:space="0" w:color="BCBEC0"/>
            </w:tcBorders>
          </w:tcPr>
          <w:p w:rsidR="002D336D" w:rsidRDefault="00F15669" w:rsidP="00A72C86">
            <w:pPr>
              <w:pStyle w:val="TableBullet"/>
              <w:numPr>
                <w:ilvl w:val="0"/>
                <w:numId w:val="0"/>
              </w:numPr>
              <w:jc w:val="both"/>
            </w:pPr>
            <w:r>
              <w:lastRenderedPageBreak/>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Demonstrate Accountability</w:t>
            </w:r>
          </w:p>
          <w:p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rsidR="002D336D" w:rsidRDefault="002D336D" w:rsidP="002D336D">
            <w:pPr>
              <w:pStyle w:val="TableBullet"/>
            </w:pPr>
            <w:r>
              <w:t>Design and develop systems to establish and measure accountabilities</w:t>
            </w:r>
          </w:p>
          <w:p w:rsidR="002D336D" w:rsidRDefault="002D336D" w:rsidP="002D336D">
            <w:pPr>
              <w:pStyle w:val="TableBullet"/>
            </w:pPr>
            <w:r>
              <w:t>Ensure accountabilities are exercised in line with government and business goals</w:t>
            </w:r>
          </w:p>
          <w:p w:rsidR="002D336D" w:rsidRDefault="002D336D" w:rsidP="002D336D">
            <w:pPr>
              <w:pStyle w:val="TableBullet"/>
            </w:pPr>
            <w:r>
              <w:t>Exercise due diligence to ensure work health and safety risks are addressed</w:t>
            </w:r>
          </w:p>
          <w:p w:rsidR="002D336D" w:rsidRDefault="002D336D" w:rsidP="002D336D">
            <w:pPr>
              <w:pStyle w:val="TableBullet"/>
            </w:pPr>
            <w:r>
              <w:t>Oversee quality assurance practices</w:t>
            </w:r>
          </w:p>
          <w:p w:rsidR="002D336D" w:rsidRDefault="002D336D" w:rsidP="002D336D">
            <w:pPr>
              <w:pStyle w:val="TableBullet"/>
            </w:pPr>
            <w:r>
              <w:t>Model the highest standards of financial probity, demonstrating respect for public monies and other resources</w:t>
            </w:r>
          </w:p>
          <w:p w:rsidR="002D336D" w:rsidRDefault="002D336D" w:rsidP="002D336D">
            <w:pPr>
              <w:pStyle w:val="TableBullet"/>
            </w:pPr>
            <w:r>
              <w:t>Monitor and maintain business-unit knowledge of and compliance with legislative and regulatory frameworks</w:t>
            </w:r>
          </w:p>
          <w:p w:rsidR="002D336D" w:rsidRDefault="002D336D" w:rsidP="002D336D">
            <w:pPr>
              <w:pStyle w:val="TableBullet"/>
            </w:pPr>
            <w:r>
              <w:t>Incorporate sound risk management principles and strategies into business planning</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E01979" w:rsidP="00DF2209">
            <w:pPr>
              <w:keepNext/>
            </w:pPr>
            <w:r w:rsidRPr="00C978B9">
              <w:rPr>
                <w:noProof/>
                <w:lang w:eastAsia="en-AU"/>
              </w:rPr>
              <w:drawing>
                <wp:inline distT="0" distB="0" distL="0" distR="0" wp14:anchorId="18FB50A7" wp14:editId="7C51E3EA">
                  <wp:extent cx="845388" cy="845388"/>
                  <wp:effectExtent l="0" t="0" r="0" b="0"/>
                  <wp:docPr id="1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Finance</w:t>
            </w:r>
          </w:p>
          <w:p w:rsidR="002D336D" w:rsidRPr="00AA57E3" w:rsidRDefault="002D336D" w:rsidP="00A72C86">
            <w:pPr>
              <w:pStyle w:val="TableText"/>
              <w:keepNext/>
            </w:pPr>
            <w:r>
              <w:t>Understand and apply financial processes to achieve value for money and minimise financial risk</w:t>
            </w:r>
          </w:p>
        </w:tc>
        <w:tc>
          <w:tcPr>
            <w:tcW w:w="4770" w:type="dxa"/>
            <w:tcBorders>
              <w:bottom w:val="single" w:sz="4" w:space="0" w:color="BCBEC0"/>
            </w:tcBorders>
          </w:tcPr>
          <w:p w:rsidR="002D336D" w:rsidRPr="00AA57E3" w:rsidRDefault="002D336D" w:rsidP="002D336D">
            <w:pPr>
              <w:pStyle w:val="TableBullet"/>
            </w:pPr>
            <w:r>
              <w:t>Understand core financial terminology, policies and processes, and display knowledge of relevant recurrent and capital financial measures</w:t>
            </w:r>
          </w:p>
          <w:p w:rsidR="002D336D" w:rsidRPr="00AA57E3" w:rsidRDefault="002D336D" w:rsidP="002D336D">
            <w:pPr>
              <w:pStyle w:val="TableBullet"/>
            </w:pPr>
            <w:r>
              <w:t>Understand the impacts of funding allocations on business planning and budgets</w:t>
            </w:r>
          </w:p>
          <w:p w:rsidR="002D336D" w:rsidRPr="00AA57E3" w:rsidRDefault="002D336D" w:rsidP="002D336D">
            <w:pPr>
              <w:pStyle w:val="TableBullet"/>
            </w:pPr>
            <w:r>
              <w:t>Identify discrepancies or variances in financial and budget reports, and take corrective action</w:t>
            </w:r>
          </w:p>
          <w:p w:rsidR="002D336D" w:rsidRPr="00AA57E3" w:rsidRDefault="002D336D" w:rsidP="002D336D">
            <w:pPr>
              <w:pStyle w:val="TableBullet"/>
            </w:pPr>
            <w:r>
              <w:t>Know when to seek specialist advice and support and establish the relevant relationships</w:t>
            </w:r>
          </w:p>
          <w:p w:rsidR="002D336D" w:rsidRPr="00AA57E3" w:rsidRDefault="002D336D" w:rsidP="002D336D">
            <w:pPr>
              <w:pStyle w:val="TableBullet"/>
            </w:pPr>
            <w:r>
              <w:t>Make decisions and prepare business cases, paying due regard to financial considerations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vMerge w:val="restart"/>
            <w:tcBorders>
              <w:bottom w:val="single" w:sz="4" w:space="0" w:color="BCBEC0"/>
            </w:tcBorders>
          </w:tcPr>
          <w:p w:rsidR="002D336D" w:rsidRPr="00C978B9" w:rsidRDefault="00E01979" w:rsidP="00DF2209">
            <w:pPr>
              <w:keepNext/>
            </w:pPr>
            <w:r w:rsidRPr="00C978B9">
              <w:rPr>
                <w:noProof/>
                <w:lang w:eastAsia="en-AU"/>
              </w:rPr>
              <w:drawing>
                <wp:inline distT="0" distB="0" distL="0" distR="0" wp14:anchorId="483B8D06" wp14:editId="2F9DEB75">
                  <wp:extent cx="847725" cy="847725"/>
                  <wp:effectExtent l="0" t="0" r="9525" b="9525"/>
                  <wp:docPr id="17"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Manage and Develop People</w:t>
            </w:r>
          </w:p>
          <w:p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rsidR="002D336D" w:rsidRPr="00AA57E3" w:rsidRDefault="002D336D" w:rsidP="002D336D">
            <w:pPr>
              <w:pStyle w:val="TableBullet"/>
            </w:pPr>
            <w:r>
              <w:t>Refine roles and responsibilities over time to achieve better business outcomes</w:t>
            </w:r>
          </w:p>
          <w:p w:rsidR="002D336D" w:rsidRPr="00AA57E3" w:rsidRDefault="002D336D" w:rsidP="002D336D">
            <w:pPr>
              <w:pStyle w:val="TableBullet"/>
            </w:pPr>
            <w:r>
              <w:t>Recognise talent, develop team capability and undertake succession planning</w:t>
            </w:r>
          </w:p>
          <w:p w:rsidR="002D336D" w:rsidRPr="00AA57E3" w:rsidRDefault="002D336D" w:rsidP="002D336D">
            <w:pPr>
              <w:pStyle w:val="TableBullet"/>
            </w:pPr>
            <w:r>
              <w:t>Coach and mentor staff and encourage professional development and continuous learning</w:t>
            </w:r>
          </w:p>
          <w:p w:rsidR="002D336D" w:rsidRPr="00AA57E3" w:rsidRDefault="002D336D" w:rsidP="002D336D">
            <w:pPr>
              <w:pStyle w:val="TableBullet"/>
            </w:pPr>
            <w:r>
              <w:t>Prioritise addressing and resolving team and individual performance issues and ensure that this approach is cascaded throughout the organisation</w:t>
            </w:r>
          </w:p>
          <w:p w:rsidR="002D336D" w:rsidRPr="00AA57E3" w:rsidRDefault="002D336D" w:rsidP="002D336D">
            <w:pPr>
              <w:pStyle w:val="TableBullet"/>
            </w:pPr>
            <w:r>
              <w:t>Implement performance development frameworks to align workforce capability with the organisation’s current and future priorities and objectives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136C3A" w:rsidRDefault="00136C3A" w:rsidP="003927AE"/>
    <w:p w:rsidR="003927AE" w:rsidRDefault="003927AE" w:rsidP="003927AE">
      <w:pPr>
        <w:pStyle w:val="Heading1"/>
      </w:pPr>
      <w:r>
        <w:lastRenderedPageBreak/>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Self</w:t>
            </w:r>
          </w:p>
        </w:tc>
        <w:tc>
          <w:tcPr>
            <w:tcW w:w="4770" w:type="dxa"/>
            <w:tcBorders>
              <w:bottom w:val="single" w:sz="4" w:space="0" w:color="BCBEC0"/>
            </w:tcBorders>
          </w:tcPr>
          <w:p w:rsidR="002B5704" w:rsidRPr="00AA57E3"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Commit to Customer Service</w:t>
            </w:r>
          </w:p>
        </w:tc>
        <w:tc>
          <w:tcPr>
            <w:tcW w:w="4770" w:type="dxa"/>
            <w:tcBorders>
              <w:bottom w:val="single" w:sz="4" w:space="0" w:color="BCBEC0"/>
            </w:tcBorders>
          </w:tcPr>
          <w:p w:rsidR="002B5704"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Deliver Results</w:t>
            </w:r>
          </w:p>
        </w:tc>
        <w:tc>
          <w:tcPr>
            <w:tcW w:w="4770" w:type="dxa"/>
            <w:tcBorders>
              <w:bottom w:val="single" w:sz="4" w:space="0" w:color="BCBEC0"/>
            </w:tcBorders>
          </w:tcPr>
          <w:p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Plan and Prioritise</w:t>
            </w:r>
          </w:p>
        </w:tc>
        <w:tc>
          <w:tcPr>
            <w:tcW w:w="4770" w:type="dxa"/>
            <w:tcBorders>
              <w:bottom w:val="single" w:sz="4" w:space="0" w:color="BCBEC0"/>
            </w:tcBorders>
          </w:tcPr>
          <w:p w:rsidR="002B5704"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bookmarkEnd w:id="0"/>
          </w:p>
        </w:tc>
        <w:tc>
          <w:tcPr>
            <w:tcW w:w="2971" w:type="dxa"/>
            <w:gridSpan w:val="2"/>
            <w:tcBorders>
              <w:bottom w:val="single" w:sz="4" w:space="0" w:color="BCBEC0"/>
            </w:tcBorders>
          </w:tcPr>
          <w:p w:rsidR="002B5704" w:rsidRPr="00AA57E3" w:rsidRDefault="002B5704" w:rsidP="00A8064A">
            <w:r>
              <w:t>Technology</w:t>
            </w:r>
          </w:p>
        </w:tc>
        <w:tc>
          <w:tcPr>
            <w:tcW w:w="4770" w:type="dxa"/>
            <w:tcBorders>
              <w:bottom w:val="single" w:sz="4" w:space="0" w:color="BCBEC0"/>
            </w:tcBorders>
          </w:tcPr>
          <w:p w:rsidR="002B5704" w:rsidRPr="00AA57E3"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Inspire Direction and Purpose</w:t>
            </w:r>
          </w:p>
        </w:tc>
        <w:tc>
          <w:tcPr>
            <w:tcW w:w="4770" w:type="dxa"/>
            <w:tcBorders>
              <w:bottom w:val="single" w:sz="4" w:space="0" w:color="BCBEC0"/>
            </w:tcBorders>
          </w:tcPr>
          <w:p w:rsidR="002B5704" w:rsidRPr="00AA57E3"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Optimise Business Outcomes</w:t>
            </w:r>
          </w:p>
        </w:tc>
        <w:tc>
          <w:tcPr>
            <w:tcW w:w="4770" w:type="dxa"/>
            <w:tcBorders>
              <w:bottom w:val="single" w:sz="4" w:space="0" w:color="BCBEC0"/>
            </w:tcBorders>
          </w:tcPr>
          <w:p w:rsidR="002B5704" w:rsidRDefault="002B5704" w:rsidP="002B5704">
            <w:r>
              <w:t>Manage people and resources effectively to achieve public value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588" w:rsidRDefault="003C3588" w:rsidP="00BB532F">
      <w:pPr>
        <w:spacing w:after="0" w:line="240" w:lineRule="auto"/>
      </w:pPr>
      <w:r>
        <w:separator/>
      </w:r>
    </w:p>
  </w:endnote>
  <w:endnote w:type="continuationSeparator" w:id="0">
    <w:p w:rsidR="003C3588" w:rsidRDefault="003C358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Compliance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588" w:rsidRDefault="003C3588" w:rsidP="00BB532F">
      <w:pPr>
        <w:spacing w:after="0" w:line="240" w:lineRule="auto"/>
      </w:pPr>
      <w:r>
        <w:separator/>
      </w:r>
    </w:p>
  </w:footnote>
  <w:footnote w:type="continuationSeparator" w:id="0">
    <w:p w:rsidR="003C3588" w:rsidRDefault="003C358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Compliance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171BA"/>
    <w:multiLevelType w:val="hybridMultilevel"/>
    <w:tmpl w:val="73286ACE"/>
    <w:lvl w:ilvl="0" w:tplc="A538C5E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1C2E73"/>
    <w:multiLevelType w:val="hybridMultilevel"/>
    <w:tmpl w:val="B8FAE162"/>
    <w:lvl w:ilvl="0" w:tplc="A538C5E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5B6290"/>
    <w:multiLevelType w:val="hybridMultilevel"/>
    <w:tmpl w:val="FC829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0"/>
  </w:num>
  <w:num w:numId="6">
    <w:abstractNumId w:val="0"/>
  </w:num>
  <w:num w:numId="7">
    <w:abstractNumId w:val="0"/>
  </w:num>
  <w:num w:numId="8">
    <w:abstractNumId w:val="0"/>
  </w:num>
  <w:num w:numId="9">
    <w:abstractNumId w:val="0"/>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7594A"/>
    <w:rsid w:val="00280887"/>
    <w:rsid w:val="0028314F"/>
    <w:rsid w:val="00287C54"/>
    <w:rsid w:val="002A648F"/>
    <w:rsid w:val="002B0B83"/>
    <w:rsid w:val="002B1F76"/>
    <w:rsid w:val="002B5704"/>
    <w:rsid w:val="002C2823"/>
    <w:rsid w:val="002C616A"/>
    <w:rsid w:val="002D336D"/>
    <w:rsid w:val="002D36BB"/>
    <w:rsid w:val="002E7196"/>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3588"/>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5BF1"/>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11B"/>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11CFB"/>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D6AD2"/>
    <w:rsid w:val="00CE105E"/>
    <w:rsid w:val="00CE1E5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01979"/>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f209cbb4faf6470c"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A4685956</value>
    </field>
    <field name="Objective-Title">
      <value order="0">Executive - Director, Compliance 301020 F</value>
    </field>
    <field name="Objective-Description">
      <value order="0"/>
    </field>
    <field name="Objective-CreationStamp">
      <value order="0">2020-07-03T03:31:48Z</value>
    </field>
    <field name="Objective-IsApproved">
      <value order="0">false</value>
    </field>
    <field name="Objective-IsPublished">
      <value order="0">false</value>
    </field>
    <field name="Objective-DatePublished">
      <value order="0"/>
    </field>
    <field name="Objective-ModificationStamp">
      <value order="0">2020-11-01T23:45:27Z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vA8443979</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5E4ACF6-B5F7-4623-BBDE-C5E864EA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6</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6</cp:revision>
  <dcterms:created xsi:type="dcterms:W3CDTF">2020-07-03T04:31:00Z</dcterms:created>
  <dcterms:modified xsi:type="dcterms:W3CDTF">2020-11-01T23:45:00Z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A4685956</vt:lpwstr>
  </property>
  <property fmtid="{D5CDD505-2E9C-101B-9397-08002B2CF9AE}" pid="4" name="Objective-Title">
    <vt:lpwstr>Executive - Director, Compliance 301020 F</vt:lpwstr>
  </property>
  <property fmtid="{D5CDD505-2E9C-101B-9397-08002B2CF9AE}" pid="5" name="Objective-Description">
    <vt:lpwstr/>
  </property>
  <property fmtid="{D5CDD505-2E9C-101B-9397-08002B2CF9AE}" pid="6" name="Objective-CreationStamp">
    <vt:filetime>2020-07-03T03:50:27Z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2020-11-01T23:45:27Z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vA8443979</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