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E8359E"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E8359E" w:rsidRPr="00FC13A3" w:rsidRDefault="00E8359E" w:rsidP="00C60D72">
            <w:pPr>
              <w:pStyle w:val="TableTextWhite"/>
              <w:rPr>
                <w:b/>
              </w:rPr>
            </w:pPr>
            <w:r>
              <w:rPr>
                <w:b/>
              </w:rPr>
              <w:t>Senior Executive Work Level Standards</w:t>
            </w:r>
          </w:p>
        </w:tc>
        <w:tc>
          <w:tcPr>
            <w:tcW w:w="6831" w:type="dxa"/>
          </w:tcPr>
          <w:p w:rsidR="00E8359E" w:rsidRDefault="00E8359E" w:rsidP="00C60D72">
            <w:pPr>
              <w:pStyle w:val="TableTextWhite"/>
            </w:pPr>
            <w:r>
              <w:t>Work Contribution Stream: Agency Head</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18 June 2020</w:t>
            </w:r>
          </w:p>
        </w:tc>
      </w:tr>
    </w:tbl>
    <w:p w:rsidR="00D30041" w:rsidRDefault="00D30041"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Deputy Chief Executive works in close partnership with the Chief Executive, providing leadership across the Agency and ensuring that internal governance, planning, policies and systems enhance Agency capability and capacity.</w:t>
      </w:r>
    </w:p>
    <w:p w:rsidR="003927AE" w:rsidRPr="00172DFE" w:rsidRDefault="003927AE" w:rsidP="00172DFE">
      <w:pPr>
        <w:tabs>
          <w:tab w:val="left" w:pos="2925"/>
        </w:tabs>
        <w:rPr>
          <w:rStyle w:val="Heading1Char"/>
        </w:rPr>
      </w:pPr>
      <w:r w:rsidRPr="00172DFE">
        <w:rPr>
          <w:rStyle w:val="Heading1Char"/>
        </w:rPr>
        <w:t>Key accountabilities</w:t>
      </w:r>
    </w:p>
    <w:p w:rsidR="00D50EAA" w:rsidRPr="00D50EAA" w:rsidRDefault="007E77DC" w:rsidP="00D50EAA">
      <w:pPr>
        <w:pStyle w:val="ListParagraph"/>
        <w:numPr>
          <w:ilvl w:val="0"/>
          <w:numId w:val="10"/>
        </w:numPr>
        <w:tabs>
          <w:tab w:val="left" w:pos="2925"/>
        </w:tabs>
        <w:rPr>
          <w:rFonts w:cs="Arial"/>
        </w:rPr>
      </w:pPr>
      <w:r>
        <w:t>Lead and provide Senior Executive direction to a substantial program, portfolio of programs, or portfolio of functions across the Agency, negotiating budgets, setting performance expectations, and monitoring and evaluating performance outcomes to contribute to achievement of Agency objectives and outcomes</w:t>
      </w:r>
    </w:p>
    <w:p w:rsidR="00D50EAA" w:rsidRPr="00D50EAA" w:rsidRDefault="007E77DC" w:rsidP="00D50EAA">
      <w:pPr>
        <w:pStyle w:val="ListParagraph"/>
        <w:numPr>
          <w:ilvl w:val="0"/>
          <w:numId w:val="10"/>
        </w:numPr>
        <w:tabs>
          <w:tab w:val="left" w:pos="2925"/>
        </w:tabs>
        <w:rPr>
          <w:rFonts w:cs="Arial"/>
        </w:rPr>
      </w:pPr>
      <w:r>
        <w:t>Contribute to the development and implementation of strategic plans and decisions by the Chief Executive, and participate as a member of the Executive, to achieve the Agency's objectives and service outcomes</w:t>
      </w:r>
    </w:p>
    <w:p w:rsidR="00D50EAA" w:rsidRPr="00D50EAA" w:rsidRDefault="007E77DC" w:rsidP="00D50EAA">
      <w:pPr>
        <w:pStyle w:val="ListParagraph"/>
        <w:numPr>
          <w:ilvl w:val="0"/>
          <w:numId w:val="10"/>
        </w:numPr>
        <w:tabs>
          <w:tab w:val="left" w:pos="2925"/>
        </w:tabs>
        <w:rPr>
          <w:rFonts w:cs="Arial"/>
        </w:rPr>
      </w:pPr>
      <w:r>
        <w:t>Deputise for the Chief Executive during periods of absence, and in relation to specific matters, issues or elements of agency operation as delegated from time to time by the Chief Executive, ensuring a consistency of approach and decisions which align with the Agency's objectives</w:t>
      </w:r>
    </w:p>
    <w:p w:rsidR="00D50EAA" w:rsidRPr="00D50EAA" w:rsidRDefault="007E77DC" w:rsidP="00D50EAA">
      <w:pPr>
        <w:pStyle w:val="ListParagraph"/>
        <w:numPr>
          <w:ilvl w:val="0"/>
          <w:numId w:val="10"/>
        </w:numPr>
        <w:tabs>
          <w:tab w:val="left" w:pos="2925"/>
        </w:tabs>
        <w:rPr>
          <w:rFonts w:cs="Arial"/>
        </w:rPr>
      </w:pPr>
      <w:r>
        <w:t>Provide expert advice and recommendations to the Minister and Chief Executive on strategic and day to day operational imperatives including the implications of major policy decisions, Agency resourcing and performance, and strategies for managing critical incidents</w:t>
      </w:r>
    </w:p>
    <w:p w:rsidR="00D50EAA" w:rsidRPr="00D50EAA" w:rsidRDefault="007E77DC" w:rsidP="00D50EAA">
      <w:pPr>
        <w:pStyle w:val="ListParagraph"/>
        <w:numPr>
          <w:ilvl w:val="0"/>
          <w:numId w:val="10"/>
        </w:numPr>
        <w:tabs>
          <w:tab w:val="left" w:pos="2925"/>
        </w:tabs>
        <w:rPr>
          <w:rFonts w:cs="Arial"/>
        </w:rPr>
      </w:pPr>
      <w:r>
        <w:t>Develop and maintain effective working relationships with a diverse range of internal and external stakeholders and nurture effective strategic partnerships to identify changes in client base and demands and new industry developments which impact on the strategic positioning of the agency and achievement of both short and long term goals</w:t>
      </w:r>
    </w:p>
    <w:p w:rsidR="003927AE" w:rsidRPr="00D50EAA" w:rsidRDefault="007E77DC" w:rsidP="00D50EAA">
      <w:pPr>
        <w:pStyle w:val="ListParagraph"/>
        <w:numPr>
          <w:ilvl w:val="0"/>
          <w:numId w:val="10"/>
        </w:numPr>
        <w:tabs>
          <w:tab w:val="left" w:pos="2925"/>
        </w:tabs>
        <w:rPr>
          <w:rFonts w:cs="Arial"/>
        </w:rPr>
      </w:pPr>
      <w:r>
        <w:t>Represent the Agency, developing and sustaining positive proactive relationships with key community and/or industry stakeholders and cross-jurisdictional networks across States and nationally in order to identify trends, leverage knowledge and intelligence, and fully inform Agency strategic decision making processes</w:t>
      </w:r>
    </w:p>
    <w:p w:rsidR="003927AE" w:rsidRPr="00614552" w:rsidRDefault="003927AE" w:rsidP="003927AE">
      <w:pPr>
        <w:tabs>
          <w:tab w:val="left" w:pos="2925"/>
        </w:tabs>
        <w:rPr>
          <w:rStyle w:val="Heading1Char"/>
        </w:rPr>
      </w:pPr>
      <w:r w:rsidRPr="00614552">
        <w:rPr>
          <w:rStyle w:val="Heading1Char"/>
        </w:rPr>
        <w:t>Key challenges</w:t>
      </w:r>
    </w:p>
    <w:p w:rsidR="00D50EAA" w:rsidRDefault="007E77DC" w:rsidP="00D50EAA">
      <w:pPr>
        <w:pStyle w:val="ListParagraph"/>
        <w:numPr>
          <w:ilvl w:val="0"/>
          <w:numId w:val="10"/>
        </w:numPr>
        <w:tabs>
          <w:tab w:val="left" w:pos="2925"/>
        </w:tabs>
      </w:pPr>
      <w:r>
        <w:t>Leading implementation of critical and imperative changes, and strategic initiatives, across the organisation achieving high levels of ownership and compliance</w:t>
      </w:r>
    </w:p>
    <w:p w:rsidR="003927AE" w:rsidRPr="00D50EAA" w:rsidRDefault="007E77DC" w:rsidP="00D50EAA">
      <w:pPr>
        <w:pStyle w:val="ListParagraph"/>
        <w:numPr>
          <w:ilvl w:val="0"/>
          <w:numId w:val="10"/>
        </w:numPr>
        <w:tabs>
          <w:tab w:val="left" w:pos="2925"/>
        </w:tabs>
        <w:rPr>
          <w:rFonts w:ascii="Georgia" w:hAnsi="Georgia"/>
        </w:rPr>
      </w:pPr>
      <w:r>
        <w:t>Identifying and resolving significant, complex and sensitive issues related to service delivery, given the need for innovative, evidence based solutions and judgements, broader client implications and requirement for transparency</w:t>
      </w:r>
    </w:p>
    <w:p w:rsidR="003927AE" w:rsidRPr="00EC5C1D" w:rsidRDefault="003927AE" w:rsidP="008E3CEE">
      <w:pPr>
        <w:tabs>
          <w:tab w:val="right" w:pos="10800"/>
        </w:tabs>
        <w:spacing w:line="240" w:lineRule="auto"/>
        <w:rPr>
          <w:rFonts w:ascii="Georgia" w:hAnsi="Georgia"/>
          <w:b/>
          <w:sz w:val="28"/>
        </w:rPr>
      </w:pPr>
      <w:r w:rsidRPr="00614552">
        <w:rPr>
          <w:rStyle w:val="Heading1Char"/>
        </w:rPr>
        <w:t>Key relationships</w:t>
      </w:r>
      <w:r w:rsidR="008E3CEE">
        <w:rPr>
          <w:rStyle w:val="Heading1Char"/>
        </w:rPr>
        <w:tab/>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lastRenderedPageBreak/>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the Minister</w:t>
            </w:r>
          </w:p>
        </w:tc>
        <w:tc>
          <w:tcPr>
            <w:tcW w:w="7256" w:type="dxa"/>
            <w:tcBorders>
              <w:top w:val="single" w:sz="8" w:space="0" w:color="auto"/>
              <w:bottom w:val="single" w:sz="8" w:space="0" w:color="BCBEC0"/>
            </w:tcBorders>
          </w:tcPr>
          <w:p w:rsidR="00D50EAA" w:rsidRDefault="003927AE" w:rsidP="003927AE">
            <w:pPr>
              <w:pStyle w:val="TableText"/>
              <w:numPr>
                <w:ilvl w:val="0"/>
                <w:numId w:val="3"/>
              </w:numPr>
            </w:pPr>
            <w:r>
              <w:t>Provide expert advice, accurate information and timely responses to issues</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D50EAA" w:rsidRDefault="003927AE" w:rsidP="003927AE">
            <w:pPr>
              <w:pStyle w:val="TableText"/>
              <w:numPr>
                <w:ilvl w:val="0"/>
                <w:numId w:val="3"/>
              </w:numPr>
            </w:pPr>
            <w:r>
              <w:t>Contribute to development and review of agency budgets and resource plans, ensuring consistency with strategic plans and goals</w:t>
            </w:r>
          </w:p>
          <w:p w:rsidR="003927AE" w:rsidRPr="00A15CDB" w:rsidRDefault="003927AE" w:rsidP="003927AE">
            <w:pPr>
              <w:pStyle w:val="TableText"/>
              <w:numPr>
                <w:ilvl w:val="0"/>
                <w:numId w:val="3"/>
              </w:numPr>
            </w:pPr>
            <w:r>
              <w:t>Provide strategic and operational advice related to agency plans, programs and services, or major issues which are politically sensitive or have significant client impacts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Inspire and motivate team, provide direction and manage performance</w:t>
            </w:r>
          </w:p>
        </w:tc>
      </w:tr>
      <w:tr w:rsidR="00D50EAA" w:rsidRPr="00C978B9" w:rsidTr="00D50EAA">
        <w:tc>
          <w:tcPr>
            <w:tcW w:w="3601" w:type="dxa"/>
            <w:tcBorders>
              <w:top w:val="single" w:sz="8" w:space="0" w:color="auto"/>
              <w:bottom w:val="single" w:sz="8" w:space="0" w:color="BCBEC0"/>
            </w:tcBorders>
            <w:shd w:val="clear" w:color="auto" w:fill="auto"/>
          </w:tcPr>
          <w:p w:rsidR="00D50EAA" w:rsidRDefault="00D50EAA" w:rsidP="00A72C86">
            <w:pPr>
              <w:pStyle w:val="TableText"/>
            </w:pPr>
            <w:r>
              <w:t>Executive</w:t>
            </w:r>
          </w:p>
        </w:tc>
        <w:tc>
          <w:tcPr>
            <w:tcW w:w="7256" w:type="dxa"/>
            <w:tcBorders>
              <w:top w:val="single" w:sz="8" w:space="0" w:color="auto"/>
              <w:bottom w:val="single" w:sz="8" w:space="0" w:color="BCBEC0"/>
            </w:tcBorders>
            <w:shd w:val="clear" w:color="auto" w:fill="auto"/>
          </w:tcPr>
          <w:p w:rsidR="00D50EAA" w:rsidRDefault="00D50EAA" w:rsidP="003927AE">
            <w:pPr>
              <w:pStyle w:val="TableText"/>
              <w:numPr>
                <w:ilvl w:val="0"/>
                <w:numId w:val="3"/>
              </w:numPr>
            </w:pPr>
            <w:r>
              <w:t>Collaborate, implement and influence planning, decision making and financial governance</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expectations, explore, resolve and provide solutions to issues to ensure that programs and services are high quality and targeted to meet evolving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D50EAA" w:rsidRDefault="003927AE" w:rsidP="003927AE">
            <w:pPr>
              <w:pStyle w:val="TableText"/>
              <w:numPr>
                <w:ilvl w:val="0"/>
                <w:numId w:val="3"/>
              </w:numPr>
            </w:pPr>
            <w:r>
              <w:t>Monitor collaborative relationships and partnerships with other NSW Government stakeholders</w:t>
            </w:r>
          </w:p>
          <w:p w:rsidR="003927AE" w:rsidRPr="00A15CDB" w:rsidRDefault="003927AE" w:rsidP="003927AE">
            <w:pPr>
              <w:pStyle w:val="TableText"/>
              <w:numPr>
                <w:ilvl w:val="0"/>
                <w:numId w:val="3"/>
              </w:numPr>
            </w:pPr>
            <w:r>
              <w:t>Establish networks to enable performance benchmarking, monitor industry trends, maintain currency, and collaborate on common response to emerging issues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54B8F"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354B8F"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354B8F"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354B8F"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lastRenderedPageBreak/>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BB12E9"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D50EAA" w:rsidRPr="00BB12E9" w:rsidRDefault="00D50EAA"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D30041" w:rsidTr="00D30041">
        <w:tblPrEx>
          <w:tblBorders>
            <w:top w:val="single" w:sz="8" w:space="0" w:color="auto"/>
            <w:bottom w:val="single" w:sz="8" w:space="0" w:color="BCBEC0"/>
          </w:tblBorders>
        </w:tblPrEx>
        <w:tc>
          <w:tcPr>
            <w:tcW w:w="1406" w:type="dxa"/>
          </w:tcPr>
          <w:p w:rsidR="00D30041" w:rsidRPr="00C978B9" w:rsidRDefault="00D30041" w:rsidP="002221FC">
            <w:pPr>
              <w:keepNext/>
            </w:pPr>
            <w:r w:rsidRPr="00C978B9">
              <w:rPr>
                <w:noProof/>
                <w:lang w:eastAsia="en-AU"/>
              </w:rPr>
              <w:drawing>
                <wp:inline distT="0" distB="0" distL="0" distR="0" wp14:anchorId="16785531" wp14:editId="21690634">
                  <wp:extent cx="854016" cy="854016"/>
                  <wp:effectExtent l="0" t="0" r="3810" b="3810"/>
                  <wp:docPr id="13" name="relationships.jpg" descr="Communicate Eff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Pr>
          <w:p w:rsidR="00D30041" w:rsidRPr="00A8226F" w:rsidRDefault="00D30041" w:rsidP="002221FC">
            <w:pPr>
              <w:pStyle w:val="TableText"/>
              <w:keepNext/>
              <w:rPr>
                <w:b/>
              </w:rPr>
            </w:pPr>
            <w:r>
              <w:rPr>
                <w:b/>
              </w:rPr>
              <w:t>Communicate Effectively</w:t>
            </w:r>
          </w:p>
          <w:p w:rsidR="00D30041" w:rsidRPr="00AA57E3" w:rsidRDefault="00D30041" w:rsidP="002221FC">
            <w:pPr>
              <w:pStyle w:val="TableText"/>
              <w:keepNext/>
            </w:pPr>
            <w:r>
              <w:t>Communicate clearly, actively listen to others, and respond with understanding and respect</w:t>
            </w:r>
          </w:p>
        </w:tc>
        <w:tc>
          <w:tcPr>
            <w:tcW w:w="4770" w:type="dxa"/>
          </w:tcPr>
          <w:p w:rsidR="00D30041" w:rsidRPr="00AA57E3" w:rsidRDefault="00D30041" w:rsidP="002221FC">
            <w:pPr>
              <w:pStyle w:val="TableBullet"/>
            </w:pPr>
            <w:r>
              <w:t>Articulate complex concepts and put forward compelling arguments and rationales to all levels and types of audiences</w:t>
            </w:r>
          </w:p>
          <w:p w:rsidR="00D30041" w:rsidRPr="00AA57E3" w:rsidRDefault="00D30041" w:rsidP="002221FC">
            <w:pPr>
              <w:pStyle w:val="TableBullet"/>
            </w:pPr>
            <w:r>
              <w:t>Speak in a highly articulate and influential manner</w:t>
            </w:r>
          </w:p>
          <w:p w:rsidR="00D30041" w:rsidRPr="00AA57E3" w:rsidRDefault="00D30041" w:rsidP="002221FC">
            <w:pPr>
              <w:pStyle w:val="TableBullet"/>
            </w:pPr>
            <w:r>
              <w:t>State the facts and explain their implications for the organisation and key stakeholders</w:t>
            </w:r>
          </w:p>
          <w:p w:rsidR="00D30041" w:rsidRPr="00AA57E3" w:rsidRDefault="00D30041" w:rsidP="002221FC">
            <w:pPr>
              <w:pStyle w:val="TableBullet"/>
            </w:pPr>
            <w:r>
              <w:t>Promote the organisation’s position with authority and credibility across government, other jurisdictions and external organisations</w:t>
            </w:r>
          </w:p>
          <w:p w:rsidR="00D30041" w:rsidRPr="00AA57E3" w:rsidRDefault="00D30041" w:rsidP="002221FC">
            <w:pPr>
              <w:pStyle w:val="TableBullet"/>
            </w:pPr>
            <w:r>
              <w:t>Anticipate and address key areas of interest for the audience and adapt style under pressure</w:t>
            </w:r>
          </w:p>
        </w:tc>
        <w:tc>
          <w:tcPr>
            <w:tcW w:w="1606" w:type="dxa"/>
          </w:tcPr>
          <w:p w:rsidR="00D30041" w:rsidRDefault="00D30041" w:rsidP="002221FC">
            <w:pPr>
              <w:pStyle w:val="TableBullet"/>
              <w:numPr>
                <w:ilvl w:val="0"/>
                <w:numId w:val="0"/>
              </w:numPr>
              <w:jc w:val="both"/>
            </w:pPr>
            <w:r>
              <w:t>Highly Advanced</w:t>
            </w:r>
          </w:p>
        </w:tc>
      </w:tr>
    </w:tbl>
    <w:p w:rsidR="00E27FE3" w:rsidRDefault="00E27FE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E27FE3" w:rsidRPr="00803E47" w:rsidTr="003F117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E27FE3" w:rsidRPr="00803E47" w:rsidRDefault="00E27FE3" w:rsidP="003F117C">
            <w:pPr>
              <w:pStyle w:val="TableTextWhite0"/>
              <w:keepNext/>
              <w:jc w:val="both"/>
            </w:pPr>
            <w:r w:rsidRPr="00051E80">
              <w:rPr>
                <w:sz w:val="24"/>
                <w:szCs w:val="24"/>
              </w:rPr>
              <w:lastRenderedPageBreak/>
              <w:t>FOCUS CAPABILITIES</w:t>
            </w:r>
          </w:p>
        </w:tc>
      </w:tr>
      <w:tr w:rsidR="00E27FE3" w:rsidRPr="00C978B9" w:rsidTr="003F117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E27FE3" w:rsidRPr="00C978B9" w:rsidRDefault="00E27FE3" w:rsidP="003F117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E27FE3" w:rsidRPr="00C978B9" w:rsidRDefault="00E27FE3" w:rsidP="003F117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E27FE3" w:rsidRDefault="00E27FE3" w:rsidP="003F117C">
            <w:pPr>
              <w:pStyle w:val="TableText"/>
              <w:keepNext/>
              <w:rPr>
                <w:b/>
              </w:rPr>
            </w:pPr>
          </w:p>
        </w:tc>
        <w:tc>
          <w:tcPr>
            <w:tcW w:w="4770" w:type="dxa"/>
            <w:tcBorders>
              <w:bottom w:val="single" w:sz="12" w:space="0" w:color="auto"/>
            </w:tcBorders>
            <w:shd w:val="clear" w:color="auto" w:fill="BCBEC0"/>
          </w:tcPr>
          <w:p w:rsidR="00E27FE3" w:rsidRDefault="00E27FE3" w:rsidP="003F117C">
            <w:pPr>
              <w:pStyle w:val="TableText"/>
              <w:keepNext/>
              <w:rPr>
                <w:b/>
              </w:rPr>
            </w:pPr>
            <w:r>
              <w:rPr>
                <w:b/>
              </w:rPr>
              <w:t>Behavioural indicators</w:t>
            </w:r>
          </w:p>
        </w:tc>
        <w:tc>
          <w:tcPr>
            <w:tcW w:w="1606" w:type="dxa"/>
            <w:tcBorders>
              <w:bottom w:val="single" w:sz="12" w:space="0" w:color="auto"/>
            </w:tcBorders>
            <w:shd w:val="clear" w:color="auto" w:fill="BCBEC0"/>
          </w:tcPr>
          <w:p w:rsidR="00E27FE3" w:rsidRDefault="00E27FE3" w:rsidP="003F117C">
            <w:pPr>
              <w:pStyle w:val="TableText"/>
              <w:keepNext/>
              <w:jc w:val="both"/>
              <w:rPr>
                <w:b/>
              </w:rPr>
            </w:pPr>
            <w:r>
              <w:rPr>
                <w:b/>
              </w:rPr>
              <w:t xml:space="preserve">Level </w:t>
            </w:r>
          </w:p>
        </w:tc>
      </w:tr>
      <w:tr w:rsidR="002D336D" w:rsidRPr="00C978B9" w:rsidTr="00D50EAA">
        <w:tc>
          <w:tcPr>
            <w:tcW w:w="1406" w:type="dxa"/>
            <w:tcBorders>
              <w:bottom w:val="single" w:sz="4" w:space="0" w:color="BCBEC0"/>
            </w:tcBorders>
            <w:shd w:val="clear" w:color="auto" w:fill="auto"/>
          </w:tcPr>
          <w:p w:rsidR="002D336D" w:rsidRDefault="002D336D" w:rsidP="00A72C86">
            <w:pPr>
              <w:keepNext/>
              <w:rPr>
                <w:noProof/>
                <w:lang w:eastAsia="en-AU"/>
              </w:rPr>
            </w:pPr>
          </w:p>
        </w:tc>
        <w:tc>
          <w:tcPr>
            <w:tcW w:w="2971" w:type="dxa"/>
            <w:gridSpan w:val="2"/>
            <w:tcBorders>
              <w:bottom w:val="single" w:sz="4" w:space="0" w:color="BCBEC0"/>
            </w:tcBorders>
            <w:shd w:val="clear" w:color="auto" w:fill="auto"/>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shd w:val="clear" w:color="auto" w:fill="auto"/>
          </w:tcPr>
          <w:p w:rsidR="002D336D" w:rsidRDefault="002D336D" w:rsidP="002D336D">
            <w:pPr>
              <w:pStyle w:val="TableBullet"/>
            </w:pPr>
            <w:r>
              <w:t>Promote a customer-focused culture in the organisation and consider new ways of working to improve customer experience</w:t>
            </w:r>
          </w:p>
          <w:p w:rsidR="002D336D" w:rsidRDefault="002D336D" w:rsidP="002D336D">
            <w:pPr>
              <w:pStyle w:val="TableBullet"/>
            </w:pPr>
            <w:r>
              <w:t>Ensure systems are in place to capture customer service insights to improve services</w:t>
            </w:r>
          </w:p>
          <w:p w:rsidR="002D336D" w:rsidRDefault="002D336D" w:rsidP="002D336D">
            <w:pPr>
              <w:pStyle w:val="TableBullet"/>
            </w:pPr>
            <w:r>
              <w:t>Initiate and develop partnerships with customers to define and evaluate service performance outcomes</w:t>
            </w:r>
          </w:p>
          <w:p w:rsidR="002D336D" w:rsidRDefault="002D336D" w:rsidP="002D336D">
            <w:pPr>
              <w:pStyle w:val="TableBullet"/>
            </w:pPr>
            <w:r>
              <w:t>Promote and manage alliances within the organisation and across the public, private and community sectors</w:t>
            </w:r>
          </w:p>
          <w:p w:rsidR="002D336D" w:rsidRDefault="002D336D" w:rsidP="002D336D">
            <w:pPr>
              <w:pStyle w:val="TableBullet"/>
            </w:pPr>
            <w:r>
              <w:t>Liaise with senior stakeholders on key issues and provide expert and influential advice</w:t>
            </w:r>
          </w:p>
          <w:p w:rsidR="002D336D" w:rsidRDefault="002D336D" w:rsidP="002D336D">
            <w:pPr>
              <w:pStyle w:val="TableBullet"/>
            </w:pPr>
            <w:r>
              <w:t>Identify and incorporate the interests and needs of customers in business process design and encourage new ideas and innovative approaches</w:t>
            </w:r>
          </w:p>
          <w:p w:rsidR="002D336D" w:rsidRDefault="002D336D" w:rsidP="002D336D">
            <w:pPr>
              <w:pStyle w:val="TableBullet"/>
            </w:pPr>
            <w:r>
              <w:t>Ensure that the organisation’s systems, processes, policies and programs respond to customer needs</w:t>
            </w:r>
          </w:p>
        </w:tc>
        <w:tc>
          <w:tcPr>
            <w:tcW w:w="1606" w:type="dxa"/>
            <w:tcBorders>
              <w:bottom w:val="single" w:sz="4" w:space="0" w:color="BCBEC0"/>
            </w:tcBorders>
            <w:shd w:val="clear" w:color="auto" w:fill="auto"/>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Delive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Inspire a culture that respects the obligation to 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Refine roles and responsibilities over time to achieve better business outcomes</w:t>
            </w:r>
          </w:p>
          <w:p w:rsidR="002D336D" w:rsidRPr="00AA57E3" w:rsidRDefault="002D336D" w:rsidP="002D336D">
            <w:pPr>
              <w:pStyle w:val="TableBullet"/>
            </w:pPr>
            <w:r>
              <w:t>Recognise talent, develop team capability and undertake succession planning</w:t>
            </w:r>
          </w:p>
          <w:p w:rsidR="002D336D" w:rsidRPr="00AA57E3" w:rsidRDefault="002D336D" w:rsidP="002D336D">
            <w:pPr>
              <w:pStyle w:val="TableBullet"/>
            </w:pPr>
            <w:r>
              <w:t>Coach and mentor staff and encourage professional development and continuous learning</w:t>
            </w:r>
          </w:p>
          <w:p w:rsidR="002D336D" w:rsidRPr="00AA57E3" w:rsidRDefault="002D336D" w:rsidP="002D336D">
            <w:pPr>
              <w:pStyle w:val="TableBullet"/>
            </w:pPr>
            <w:r>
              <w:t>Prioritise addressing and resolving team and individual performance issues and ensure that this approach is cascaded throughout the organisation</w:t>
            </w:r>
          </w:p>
          <w:p w:rsidR="002D336D" w:rsidRPr="00AA57E3" w:rsidRDefault="002D336D" w:rsidP="002D336D">
            <w:pPr>
              <w:pStyle w:val="TableBullet"/>
            </w:pPr>
            <w:r>
              <w:t>Implement performance development frameworks to align workforce capability with the organisation’s current and future priorities and objectives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9C331A">
        <w:tc>
          <w:tcPr>
            <w:tcW w:w="1406" w:type="dxa"/>
            <w:tcBorders>
              <w:bottom w:val="single" w:sz="4" w:space="0" w:color="BCBEC0"/>
            </w:tcBorders>
            <w:shd w:val="clear" w:color="auto" w:fill="auto"/>
          </w:tcPr>
          <w:p w:rsidR="002D336D" w:rsidRDefault="002D336D" w:rsidP="00A72C86">
            <w:pPr>
              <w:keepNext/>
              <w:rPr>
                <w:noProof/>
                <w:lang w:eastAsia="en-AU"/>
              </w:rPr>
            </w:pPr>
          </w:p>
        </w:tc>
        <w:tc>
          <w:tcPr>
            <w:tcW w:w="2971" w:type="dxa"/>
            <w:gridSpan w:val="2"/>
            <w:tcBorders>
              <w:bottom w:val="single" w:sz="4" w:space="0" w:color="BCBEC0"/>
            </w:tcBorders>
            <w:shd w:val="clear" w:color="auto" w:fill="auto"/>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770" w:type="dxa"/>
            <w:tcBorders>
              <w:bottom w:val="single" w:sz="4" w:space="0" w:color="BCBEC0"/>
            </w:tcBorders>
            <w:shd w:val="clear" w:color="auto" w:fill="auto"/>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shd w:val="clear" w:color="auto" w:fill="auto"/>
          </w:tcPr>
          <w:p w:rsidR="002D336D" w:rsidRDefault="007C0486" w:rsidP="00A72C86">
            <w:pPr>
              <w:pStyle w:val="TableBullet"/>
              <w:numPr>
                <w:ilvl w:val="0"/>
                <w:numId w:val="0"/>
              </w:numPr>
              <w:jc w:val="both"/>
            </w:pPr>
            <w:r>
              <w:t>Highly Advanced</w:t>
            </w:r>
          </w:p>
        </w:tc>
      </w:tr>
      <w:tr w:rsidR="002D336D" w:rsidRPr="00C978B9" w:rsidTr="009C331A">
        <w:tc>
          <w:tcPr>
            <w:tcW w:w="1406" w:type="dxa"/>
            <w:tcBorders>
              <w:bottom w:val="single" w:sz="4" w:space="0" w:color="BCBEC0"/>
            </w:tcBorders>
            <w:shd w:val="clear" w:color="auto" w:fill="auto"/>
          </w:tcPr>
          <w:p w:rsidR="002D336D" w:rsidRDefault="002D336D" w:rsidP="00A72C86">
            <w:pPr>
              <w:keepNext/>
              <w:rPr>
                <w:noProof/>
                <w:lang w:eastAsia="en-AU"/>
              </w:rPr>
            </w:pPr>
          </w:p>
        </w:tc>
        <w:tc>
          <w:tcPr>
            <w:tcW w:w="2971" w:type="dxa"/>
            <w:gridSpan w:val="2"/>
            <w:tcBorders>
              <w:bottom w:val="single" w:sz="4" w:space="0" w:color="BCBEC0"/>
            </w:tcBorders>
            <w:shd w:val="clear" w:color="auto" w:fill="auto"/>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shd w:val="clear" w:color="auto" w:fill="auto"/>
          </w:tcPr>
          <w:p w:rsidR="002D336D" w:rsidRDefault="002D336D" w:rsidP="002D336D">
            <w:pPr>
              <w:pStyle w:val="TableBullet"/>
              <w:numPr>
                <w:ilvl w:val="0"/>
                <w:numId w:val="0"/>
              </w:numPr>
              <w:ind w:left="360"/>
            </w:pPr>
          </w:p>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shd w:val="clear" w:color="auto" w:fill="auto"/>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9C331A" w:rsidRDefault="009C331A"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9C331A">
        <w:trPr>
          <w:trHeight w:val="488"/>
        </w:trPr>
        <w:tc>
          <w:tcPr>
            <w:tcW w:w="1406" w:type="dxa"/>
            <w:vMerge w:val="restart"/>
            <w:tcBorders>
              <w:bottom w:val="single" w:sz="4" w:space="0" w:color="BCBEC0"/>
            </w:tcBorders>
            <w:shd w:val="clear" w:color="auto" w:fill="auto"/>
          </w:tcPr>
          <w:p w:rsidR="002B5704" w:rsidRPr="00C978B9" w:rsidRDefault="002B5704" w:rsidP="00A8064A">
            <w:pPr>
              <w:keepNext/>
            </w:pPr>
            <w:bookmarkStart w:id="0" w:name="_GoBack"/>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bookmarkEnd w:id="0"/>
          </w:p>
        </w:tc>
        <w:tc>
          <w:tcPr>
            <w:tcW w:w="2971" w:type="dxa"/>
            <w:gridSpan w:val="2"/>
            <w:tcBorders>
              <w:bottom w:val="single" w:sz="4" w:space="0" w:color="BCBEC0"/>
            </w:tcBorders>
            <w:shd w:val="clear" w:color="auto" w:fill="auto"/>
          </w:tcPr>
          <w:p w:rsidR="002B5704" w:rsidRPr="00AA57E3" w:rsidRDefault="002B5704" w:rsidP="00A8064A">
            <w:r>
              <w:t>Technology</w:t>
            </w:r>
          </w:p>
        </w:tc>
        <w:tc>
          <w:tcPr>
            <w:tcW w:w="4770" w:type="dxa"/>
            <w:tcBorders>
              <w:bottom w:val="single" w:sz="4" w:space="0" w:color="BCBEC0"/>
            </w:tcBorders>
            <w:shd w:val="clear" w:color="auto" w:fill="auto"/>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shd w:val="clear" w:color="auto" w:fill="auto"/>
          </w:tcPr>
          <w:p w:rsidR="002B5704" w:rsidRDefault="002B5704" w:rsidP="00A8064A">
            <w:pPr>
              <w:pStyle w:val="TableBullet"/>
              <w:numPr>
                <w:ilvl w:val="0"/>
                <w:numId w:val="0"/>
              </w:numPr>
              <w:jc w:val="both"/>
            </w:pPr>
            <w:r>
              <w:t>Adept</w:t>
            </w:r>
          </w:p>
        </w:tc>
      </w:tr>
      <w:tr w:rsidR="002B5704" w:rsidRPr="00C978B9" w:rsidTr="009C331A">
        <w:tc>
          <w:tcPr>
            <w:tcW w:w="1406" w:type="dxa"/>
            <w:vMerge/>
            <w:tcBorders>
              <w:bottom w:val="single" w:sz="4" w:space="0" w:color="BCBEC0"/>
            </w:tcBorders>
            <w:shd w:val="clear" w:color="auto" w:fill="auto"/>
          </w:tcPr>
          <w:p w:rsidR="002B5704" w:rsidRDefault="002B5704" w:rsidP="00A8064A">
            <w:pPr>
              <w:keepNext/>
              <w:rPr>
                <w:noProof/>
                <w:lang w:eastAsia="en-AU"/>
              </w:rPr>
            </w:pPr>
          </w:p>
        </w:tc>
        <w:tc>
          <w:tcPr>
            <w:tcW w:w="2971" w:type="dxa"/>
            <w:gridSpan w:val="2"/>
            <w:tcBorders>
              <w:bottom w:val="single" w:sz="4" w:space="0" w:color="BCBEC0"/>
            </w:tcBorders>
            <w:shd w:val="clear" w:color="auto" w:fill="auto"/>
          </w:tcPr>
          <w:p w:rsidR="002B5704" w:rsidRPr="00A8226F" w:rsidRDefault="002B5704" w:rsidP="00A8064A">
            <w:r>
              <w:t>Procurement and Contract Management</w:t>
            </w:r>
          </w:p>
        </w:tc>
        <w:tc>
          <w:tcPr>
            <w:tcW w:w="4770" w:type="dxa"/>
            <w:tcBorders>
              <w:bottom w:val="single" w:sz="4" w:space="0" w:color="BCBEC0"/>
            </w:tcBorders>
            <w:shd w:val="clear" w:color="auto" w:fill="auto"/>
          </w:tcPr>
          <w:p w:rsidR="002B5704" w:rsidRDefault="002B5704" w:rsidP="002B5704">
            <w:r>
              <w:t>Understand and apply procurement processes to ensure effective purchasing and contract performance</w:t>
            </w:r>
          </w:p>
        </w:tc>
        <w:tc>
          <w:tcPr>
            <w:tcW w:w="1606" w:type="dxa"/>
            <w:tcBorders>
              <w:bottom w:val="single" w:sz="4" w:space="0" w:color="BCBEC0"/>
            </w:tcBorders>
            <w:shd w:val="clear" w:color="auto" w:fill="auto"/>
          </w:tcPr>
          <w:p w:rsidR="002B5704" w:rsidRDefault="002B5704" w:rsidP="00A8064A">
            <w:pPr>
              <w:pStyle w:val="TableBullet"/>
              <w:numPr>
                <w:ilvl w:val="0"/>
                <w:numId w:val="0"/>
              </w:numPr>
              <w:jc w:val="both"/>
            </w:pPr>
            <w:r>
              <w:t>Adept</w:t>
            </w:r>
          </w:p>
        </w:tc>
      </w:tr>
      <w:tr w:rsidR="002B5704" w:rsidRPr="00C978B9" w:rsidTr="009C331A">
        <w:tc>
          <w:tcPr>
            <w:tcW w:w="1406" w:type="dxa"/>
            <w:vMerge/>
            <w:tcBorders>
              <w:bottom w:val="single" w:sz="4" w:space="0" w:color="BCBEC0"/>
            </w:tcBorders>
            <w:shd w:val="clear" w:color="auto" w:fill="auto"/>
          </w:tcPr>
          <w:p w:rsidR="002B5704" w:rsidRDefault="002B5704" w:rsidP="00A8064A">
            <w:pPr>
              <w:keepNext/>
              <w:rPr>
                <w:noProof/>
                <w:lang w:eastAsia="en-AU"/>
              </w:rPr>
            </w:pPr>
          </w:p>
        </w:tc>
        <w:tc>
          <w:tcPr>
            <w:tcW w:w="2971" w:type="dxa"/>
            <w:gridSpan w:val="2"/>
            <w:tcBorders>
              <w:bottom w:val="single" w:sz="4" w:space="0" w:color="BCBEC0"/>
            </w:tcBorders>
            <w:shd w:val="clear" w:color="auto" w:fill="auto"/>
          </w:tcPr>
          <w:p w:rsidR="002B5704" w:rsidRPr="00A8226F" w:rsidRDefault="002B5704" w:rsidP="00A8064A">
            <w:r>
              <w:t>Project Management</w:t>
            </w:r>
          </w:p>
        </w:tc>
        <w:tc>
          <w:tcPr>
            <w:tcW w:w="4770" w:type="dxa"/>
            <w:tcBorders>
              <w:bottom w:val="single" w:sz="4" w:space="0" w:color="BCBEC0"/>
            </w:tcBorders>
            <w:shd w:val="clear" w:color="auto" w:fill="auto"/>
          </w:tcPr>
          <w:p w:rsidR="002B5704" w:rsidRDefault="002B5704" w:rsidP="002B5704">
            <w:r>
              <w:t>Understand and apply effective planning, coordination and control methods</w:t>
            </w:r>
          </w:p>
        </w:tc>
        <w:tc>
          <w:tcPr>
            <w:tcW w:w="1606" w:type="dxa"/>
            <w:tcBorders>
              <w:bottom w:val="single" w:sz="4" w:space="0" w:color="BCBEC0"/>
            </w:tcBorders>
            <w:shd w:val="clear" w:color="auto" w:fill="auto"/>
          </w:tcPr>
          <w:p w:rsidR="002B5704" w:rsidRDefault="002B5704" w:rsidP="00A8064A">
            <w:pPr>
              <w:pStyle w:val="TableBullet"/>
              <w:numPr>
                <w:ilvl w:val="0"/>
                <w:numId w:val="0"/>
              </w:numPr>
              <w:jc w:val="both"/>
            </w:pPr>
            <w:r>
              <w:t>Adept</w:t>
            </w:r>
          </w:p>
        </w:tc>
      </w:tr>
      <w:tr w:rsidR="002B5704" w:rsidRPr="00C978B9" w:rsidTr="009C331A">
        <w:tc>
          <w:tcPr>
            <w:tcW w:w="1406" w:type="dxa"/>
            <w:vMerge w:val="restart"/>
            <w:tcBorders>
              <w:bottom w:val="single" w:sz="4" w:space="0" w:color="BCBEC0"/>
            </w:tcBorders>
            <w:shd w:val="clear" w:color="auto" w:fill="auto"/>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shd w:val="clear" w:color="auto" w:fill="auto"/>
          </w:tcPr>
          <w:p w:rsidR="002B5704" w:rsidRPr="00AA57E3" w:rsidRDefault="002B5704" w:rsidP="00A8064A">
            <w:r>
              <w:t>Inspire Direction and Purpose</w:t>
            </w:r>
          </w:p>
        </w:tc>
        <w:tc>
          <w:tcPr>
            <w:tcW w:w="4770" w:type="dxa"/>
            <w:tcBorders>
              <w:bottom w:val="single" w:sz="4" w:space="0" w:color="BCBEC0"/>
            </w:tcBorders>
            <w:shd w:val="clear" w:color="auto" w:fill="auto"/>
          </w:tcPr>
          <w:p w:rsidR="002B5704" w:rsidRPr="00AA57E3" w:rsidRDefault="002B5704" w:rsidP="002B5704">
            <w:r>
              <w:t>Communicate goals, priorities and vision, and recognise achievements</w:t>
            </w:r>
          </w:p>
        </w:tc>
        <w:tc>
          <w:tcPr>
            <w:tcW w:w="1606" w:type="dxa"/>
            <w:tcBorders>
              <w:bottom w:val="single" w:sz="4" w:space="0" w:color="BCBEC0"/>
            </w:tcBorders>
            <w:shd w:val="clear" w:color="auto" w:fill="auto"/>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91" w:rsidRDefault="00AD0691" w:rsidP="00BB532F">
      <w:pPr>
        <w:spacing w:after="0" w:line="240" w:lineRule="auto"/>
      </w:pPr>
      <w:r>
        <w:separator/>
      </w:r>
    </w:p>
  </w:endnote>
  <w:endnote w:type="continuationSeparator" w:id="0">
    <w:p w:rsidR="00AD0691" w:rsidRDefault="00AD069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Deputy Chief Executive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91" w:rsidRDefault="00AD0691" w:rsidP="00BB532F">
      <w:pPr>
        <w:spacing w:after="0" w:line="240" w:lineRule="auto"/>
      </w:pPr>
      <w:r>
        <w:separator/>
      </w:r>
    </w:p>
  </w:footnote>
  <w:footnote w:type="continuationSeparator" w:id="0">
    <w:p w:rsidR="00AD0691" w:rsidRDefault="00AD069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Deputy Chief Executive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4030F"/>
    <w:multiLevelType w:val="hybridMultilevel"/>
    <w:tmpl w:val="B13A92B6"/>
    <w:lvl w:ilvl="0" w:tplc="C8842E1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4EA6"/>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C4F20"/>
    <w:rsid w:val="000D12B3"/>
    <w:rsid w:val="000D799A"/>
    <w:rsid w:val="000F231F"/>
    <w:rsid w:val="00104EC7"/>
    <w:rsid w:val="001336E8"/>
    <w:rsid w:val="0013413E"/>
    <w:rsid w:val="00134F5E"/>
    <w:rsid w:val="0015067B"/>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54B8F"/>
    <w:rsid w:val="00361F4E"/>
    <w:rsid w:val="00372A99"/>
    <w:rsid w:val="00373737"/>
    <w:rsid w:val="00375289"/>
    <w:rsid w:val="00377118"/>
    <w:rsid w:val="003927AE"/>
    <w:rsid w:val="0039395B"/>
    <w:rsid w:val="003A1185"/>
    <w:rsid w:val="003A2AFA"/>
    <w:rsid w:val="003A3538"/>
    <w:rsid w:val="003A464A"/>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373CB"/>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57A64"/>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967D0"/>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E3CEE"/>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331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D0691"/>
    <w:rsid w:val="00AE14D7"/>
    <w:rsid w:val="00AF01AC"/>
    <w:rsid w:val="00AF3FE7"/>
    <w:rsid w:val="00AF47F7"/>
    <w:rsid w:val="00AF7D0C"/>
    <w:rsid w:val="00B0574B"/>
    <w:rsid w:val="00B10AB7"/>
    <w:rsid w:val="00B2037F"/>
    <w:rsid w:val="00B262BC"/>
    <w:rsid w:val="00B32691"/>
    <w:rsid w:val="00B36E08"/>
    <w:rsid w:val="00B407F6"/>
    <w:rsid w:val="00B635E3"/>
    <w:rsid w:val="00B72B4F"/>
    <w:rsid w:val="00B835C0"/>
    <w:rsid w:val="00B876AF"/>
    <w:rsid w:val="00B9055C"/>
    <w:rsid w:val="00BA6363"/>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0041"/>
    <w:rsid w:val="00D312DA"/>
    <w:rsid w:val="00D351CC"/>
    <w:rsid w:val="00D44997"/>
    <w:rsid w:val="00D50EAA"/>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27FE3"/>
    <w:rsid w:val="00E310E1"/>
    <w:rsid w:val="00E44564"/>
    <w:rsid w:val="00E55704"/>
    <w:rsid w:val="00E565B9"/>
    <w:rsid w:val="00E72D70"/>
    <w:rsid w:val="00E747B4"/>
    <w:rsid w:val="00E80A46"/>
    <w:rsid w:val="00E8359E"/>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17f5ea8120544e4f"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A4685948</value>
    </field>
    <field name="Objective-Title">
      <value order="0">Executive - Deputy Chief Executive 301020 F</value>
    </field>
    <field name="Objective-Description">
      <value order="0"/>
    </field>
    <field name="Objective-CreationStamp">
      <value order="0">2020-06-18T03:46:15Z</value>
    </field>
    <field name="Objective-IsApproved">
      <value order="0">false</value>
    </field>
    <field name="Objective-IsPublished">
      <value order="0">false</value>
    </field>
    <field name="Objective-DatePublished">
      <value order="0"/>
    </field>
    <field name="Objective-ModificationStamp">
      <value order="0">2020-11-01T23:40:42Z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vA8443969</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0EE3CD2-5C38-4C1A-811B-69BD3E0E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7</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10</cp:revision>
  <dcterms:created xsi:type="dcterms:W3CDTF">2020-06-18T04:46:00Z</dcterms:created>
  <dcterms:modified xsi:type="dcterms:W3CDTF">2020-11-01T23:40:00Z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A4685948</vt:lpwstr>
  </property>
  <property fmtid="{D5CDD505-2E9C-101B-9397-08002B2CF9AE}" pid="4" name="Objective-Title">
    <vt:lpwstr>Executive - Deputy Chief Executive 301020 F</vt:lpwstr>
  </property>
  <property fmtid="{D5CDD505-2E9C-101B-9397-08002B2CF9AE}" pid="5" name="Objective-Description">
    <vt:lpwstr/>
  </property>
  <property fmtid="{D5CDD505-2E9C-101B-9397-08002B2CF9AE}" pid="6" name="Objective-CreationStamp">
    <vt:filetime>2020-07-03T03:49:30Z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2020-11-01T23:40:42Z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vA8443969</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