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45635760" w:rsidR="00801E41" w:rsidRDefault="009C063D" w:rsidP="00C60D72">
            <w:pPr>
              <w:pStyle w:val="TableTextWhite"/>
            </w:pPr>
            <w:r>
              <w:t>Clerk Grade 9/10</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1BA55351" w:rsidR="00801E41" w:rsidRDefault="009C063D" w:rsidP="00C60D72">
            <w:pPr>
              <w:pStyle w:val="TableTextWhite"/>
            </w:pPr>
            <w:r w:rsidRPr="009C063D">
              <w:t>135112</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7383AAAF" w:rsidR="00DB7774" w:rsidRPr="000151B2" w:rsidRDefault="009C063D" w:rsidP="009C063D">
      <w:pPr>
        <w:spacing w:after="0" w:line="240" w:lineRule="auto"/>
        <w:rPr>
          <w:rFonts w:cs="Arial"/>
        </w:rPr>
      </w:pPr>
      <w:r w:rsidRPr="000151B2">
        <w:rPr>
          <w:rFonts w:cs="Arial"/>
        </w:rPr>
        <w:t>The User Experience (UX) Researcher is responsible for designing and conducting user research through a variety of qualitative and quantitative methods.</w:t>
      </w:r>
    </w:p>
    <w:p w14:paraId="2C802BD2" w14:textId="77777777" w:rsidR="003927AE" w:rsidRPr="00172DFE" w:rsidRDefault="003927AE" w:rsidP="009C063D">
      <w:pPr>
        <w:tabs>
          <w:tab w:val="left" w:pos="2925"/>
        </w:tabs>
        <w:spacing w:before="240"/>
        <w:rPr>
          <w:rStyle w:val="Heading1Char"/>
        </w:rPr>
      </w:pPr>
      <w:r w:rsidRPr="00172DFE">
        <w:rPr>
          <w:rStyle w:val="Heading1Char"/>
        </w:rPr>
        <w:t>Key accountabilities</w:t>
      </w:r>
    </w:p>
    <w:p w14:paraId="7896F43D" w14:textId="263DC15F" w:rsidR="009C063D" w:rsidRPr="009C063D" w:rsidRDefault="009C063D" w:rsidP="009C063D">
      <w:pPr>
        <w:pStyle w:val="ListParagraph"/>
        <w:numPr>
          <w:ilvl w:val="0"/>
          <w:numId w:val="11"/>
        </w:numPr>
        <w:tabs>
          <w:tab w:val="left" w:pos="2925"/>
        </w:tabs>
        <w:rPr>
          <w:rFonts w:cs="Arial"/>
        </w:rPr>
      </w:pPr>
      <w:r w:rsidRPr="009C063D">
        <w:rPr>
          <w:rFonts w:cs="Arial"/>
        </w:rPr>
        <w:t xml:space="preserve">Design and implement qualitative and quantitative research methods, including interviews, contextual </w:t>
      </w:r>
      <w:proofErr w:type="gramStart"/>
      <w:r w:rsidRPr="009C063D">
        <w:rPr>
          <w:rFonts w:cs="Arial"/>
        </w:rPr>
        <w:t>inquiries</w:t>
      </w:r>
      <w:proofErr w:type="gramEnd"/>
      <w:r w:rsidRPr="009C063D">
        <w:rPr>
          <w:rFonts w:cs="Arial"/>
        </w:rPr>
        <w:t xml:space="preserve"> and usability testing, to inform design decisions from the point of view of the end user for various interactive systems and projects. </w:t>
      </w:r>
    </w:p>
    <w:p w14:paraId="5224B9C0" w14:textId="692B1FBE" w:rsidR="009C063D" w:rsidRPr="009C063D" w:rsidRDefault="009C063D" w:rsidP="009C063D">
      <w:pPr>
        <w:pStyle w:val="ListParagraph"/>
        <w:numPr>
          <w:ilvl w:val="0"/>
          <w:numId w:val="11"/>
        </w:numPr>
        <w:tabs>
          <w:tab w:val="left" w:pos="2925"/>
        </w:tabs>
        <w:rPr>
          <w:rFonts w:cs="Arial"/>
        </w:rPr>
      </w:pPr>
      <w:r w:rsidRPr="009C063D">
        <w:rPr>
          <w:rFonts w:cs="Arial"/>
        </w:rPr>
        <w:t xml:space="preserve">Recommend appropriate usability testing methodologies and facilitate usability tests to ensure design decisions are user tested. </w:t>
      </w:r>
    </w:p>
    <w:p w14:paraId="65F6E2AC" w14:textId="023D6F75" w:rsidR="009C063D" w:rsidRPr="009C063D" w:rsidRDefault="009C063D" w:rsidP="009C063D">
      <w:pPr>
        <w:pStyle w:val="ListParagraph"/>
        <w:numPr>
          <w:ilvl w:val="0"/>
          <w:numId w:val="11"/>
        </w:numPr>
        <w:tabs>
          <w:tab w:val="left" w:pos="2925"/>
        </w:tabs>
        <w:rPr>
          <w:rFonts w:cs="Arial"/>
        </w:rPr>
      </w:pPr>
      <w:r w:rsidRPr="009C063D">
        <w:rPr>
          <w:rFonts w:cs="Arial"/>
        </w:rPr>
        <w:t xml:space="preserve">Create test plans, write test scenarios, screen, </w:t>
      </w:r>
      <w:proofErr w:type="gramStart"/>
      <w:r w:rsidRPr="009C063D">
        <w:rPr>
          <w:rFonts w:cs="Arial"/>
        </w:rPr>
        <w:t>recruit</w:t>
      </w:r>
      <w:proofErr w:type="gramEnd"/>
      <w:r w:rsidRPr="009C063D">
        <w:rPr>
          <w:rFonts w:cs="Arial"/>
        </w:rPr>
        <w:t xml:space="preserve"> and schedule participants </w:t>
      </w:r>
    </w:p>
    <w:p w14:paraId="4B62DE37" w14:textId="3D200C1E" w:rsidR="009C063D" w:rsidRPr="009C063D" w:rsidRDefault="009C063D" w:rsidP="009C063D">
      <w:pPr>
        <w:pStyle w:val="ListParagraph"/>
        <w:numPr>
          <w:ilvl w:val="0"/>
          <w:numId w:val="11"/>
        </w:numPr>
        <w:tabs>
          <w:tab w:val="left" w:pos="2925"/>
        </w:tabs>
        <w:rPr>
          <w:rFonts w:cs="Arial"/>
        </w:rPr>
      </w:pPr>
      <w:r w:rsidRPr="009C063D">
        <w:rPr>
          <w:rFonts w:cs="Arial"/>
        </w:rPr>
        <w:t xml:space="preserve">Provide insights that will compel software teams to empathise with users and to produce meaningful products. </w:t>
      </w:r>
    </w:p>
    <w:p w14:paraId="2AF3B5E1" w14:textId="65AFC1B6" w:rsidR="009C063D" w:rsidRPr="009C063D" w:rsidRDefault="009C063D" w:rsidP="009C063D">
      <w:pPr>
        <w:pStyle w:val="ListParagraph"/>
        <w:numPr>
          <w:ilvl w:val="0"/>
          <w:numId w:val="11"/>
        </w:numPr>
        <w:tabs>
          <w:tab w:val="left" w:pos="2925"/>
        </w:tabs>
        <w:rPr>
          <w:rFonts w:cs="Arial"/>
        </w:rPr>
      </w:pPr>
      <w:r w:rsidRPr="009C063D">
        <w:rPr>
          <w:rFonts w:cs="Arial"/>
        </w:rPr>
        <w:t xml:space="preserve">Research, analyse and work with designers to wireframe and prototype user experiences to ensure the development of </w:t>
      </w:r>
      <w:proofErr w:type="gramStart"/>
      <w:r w:rsidRPr="009C063D">
        <w:rPr>
          <w:rFonts w:cs="Arial"/>
        </w:rPr>
        <w:t>user friendly</w:t>
      </w:r>
      <w:proofErr w:type="gramEnd"/>
      <w:r w:rsidRPr="009C063D">
        <w:rPr>
          <w:rFonts w:cs="Arial"/>
        </w:rPr>
        <w:t xml:space="preserve"> digital products. </w:t>
      </w:r>
    </w:p>
    <w:p w14:paraId="629540AB" w14:textId="60063663" w:rsidR="009C063D" w:rsidRPr="009C063D" w:rsidRDefault="009C063D" w:rsidP="009C063D">
      <w:pPr>
        <w:pStyle w:val="ListParagraph"/>
        <w:numPr>
          <w:ilvl w:val="0"/>
          <w:numId w:val="11"/>
        </w:numPr>
        <w:tabs>
          <w:tab w:val="left" w:pos="2925"/>
        </w:tabs>
        <w:rPr>
          <w:rFonts w:cs="Arial"/>
        </w:rPr>
      </w:pPr>
      <w:r w:rsidRPr="009C063D">
        <w:rPr>
          <w:rFonts w:cs="Arial"/>
        </w:rPr>
        <w:t xml:space="preserve">Identify pain points and work with team members to devise elegant solutions that support TAFE NSW’s core value of ‘Customer First’. </w:t>
      </w:r>
    </w:p>
    <w:p w14:paraId="12DEC859" w14:textId="1B86A948" w:rsidR="009C063D" w:rsidRPr="009C063D" w:rsidRDefault="009C063D" w:rsidP="009C063D">
      <w:pPr>
        <w:pStyle w:val="ListParagraph"/>
        <w:numPr>
          <w:ilvl w:val="0"/>
          <w:numId w:val="11"/>
        </w:numPr>
        <w:tabs>
          <w:tab w:val="left" w:pos="2925"/>
        </w:tabs>
        <w:rPr>
          <w:rFonts w:cs="Arial"/>
        </w:rPr>
      </w:pPr>
      <w:r w:rsidRPr="009C063D">
        <w:rPr>
          <w:rFonts w:cs="Arial"/>
        </w:rPr>
        <w:t xml:space="preserve">Synthesize research and prepare documentation, including user personas and journey maps, to inform design decisions and to create consensus across business units. </w:t>
      </w:r>
    </w:p>
    <w:p w14:paraId="07B8CB36" w14:textId="2BE4E151" w:rsidR="009C063D" w:rsidRPr="009C063D" w:rsidRDefault="009C063D" w:rsidP="009C063D">
      <w:pPr>
        <w:pStyle w:val="ListParagraph"/>
        <w:numPr>
          <w:ilvl w:val="0"/>
          <w:numId w:val="11"/>
        </w:numPr>
        <w:tabs>
          <w:tab w:val="left" w:pos="2925"/>
        </w:tabs>
        <w:rPr>
          <w:rFonts w:cs="Arial"/>
        </w:rPr>
      </w:pPr>
      <w:r w:rsidRPr="009C063D">
        <w:rPr>
          <w:rFonts w:cs="Arial"/>
        </w:rPr>
        <w:t xml:space="preserve">Contribute to the development of wireframes and prototypes using Adobe XD, InVision or other agreed tools to demonstrate the interactivity of the product. </w:t>
      </w:r>
    </w:p>
    <w:p w14:paraId="57589807" w14:textId="7FFF795F" w:rsidR="009C063D" w:rsidRPr="009C063D" w:rsidRDefault="009C063D" w:rsidP="009C063D">
      <w:pPr>
        <w:pStyle w:val="ListParagraph"/>
        <w:numPr>
          <w:ilvl w:val="0"/>
          <w:numId w:val="11"/>
        </w:numPr>
        <w:tabs>
          <w:tab w:val="left" w:pos="2925"/>
        </w:tabs>
        <w:rPr>
          <w:rFonts w:cs="Arial"/>
        </w:rPr>
      </w:pPr>
      <w:r w:rsidRPr="009C063D">
        <w:rPr>
          <w:rFonts w:cs="Arial"/>
        </w:rPr>
        <w:t xml:space="preserve">Deliver people-centred product advice, approaches and perform usability assessments and tests of interactive systems and iterations. </w:t>
      </w:r>
    </w:p>
    <w:p w14:paraId="7CCD3455" w14:textId="55404998" w:rsidR="009C063D" w:rsidRPr="009C063D" w:rsidRDefault="009C063D" w:rsidP="009C063D">
      <w:pPr>
        <w:pStyle w:val="ListParagraph"/>
        <w:numPr>
          <w:ilvl w:val="0"/>
          <w:numId w:val="11"/>
        </w:numPr>
        <w:tabs>
          <w:tab w:val="left" w:pos="2925"/>
        </w:tabs>
        <w:rPr>
          <w:rFonts w:cs="Arial"/>
        </w:rPr>
      </w:pPr>
      <w:r w:rsidRPr="009C063D">
        <w:rPr>
          <w:rFonts w:cs="Arial"/>
        </w:rPr>
        <w:t xml:space="preserve">Contribute to the design and implementation of a UX strategy. </w:t>
      </w:r>
    </w:p>
    <w:p w14:paraId="675DA161" w14:textId="5D683FB2" w:rsidR="009C063D" w:rsidRPr="009C063D" w:rsidRDefault="009C063D" w:rsidP="009C063D">
      <w:pPr>
        <w:pStyle w:val="ListParagraph"/>
        <w:numPr>
          <w:ilvl w:val="0"/>
          <w:numId w:val="11"/>
        </w:numPr>
        <w:tabs>
          <w:tab w:val="left" w:pos="2925"/>
        </w:tabs>
        <w:rPr>
          <w:rFonts w:cs="Arial"/>
        </w:rPr>
      </w:pPr>
      <w:r w:rsidRPr="009C063D">
        <w:rPr>
          <w:rFonts w:cs="Arial"/>
        </w:rPr>
        <w:t xml:space="preserve">Reflect TAFE NSW’s values in the way you work and abide by policies and procedures to ensure a safe, </w:t>
      </w:r>
      <w:proofErr w:type="gramStart"/>
      <w:r w:rsidRPr="009C063D">
        <w:rPr>
          <w:rFonts w:cs="Arial"/>
        </w:rPr>
        <w:t>healthy</w:t>
      </w:r>
      <w:proofErr w:type="gramEnd"/>
      <w:r w:rsidRPr="009C063D">
        <w:rPr>
          <w:rFonts w:cs="Arial"/>
        </w:rPr>
        <w:t xml:space="preserve"> and inclusive work environment. </w:t>
      </w:r>
    </w:p>
    <w:p w14:paraId="0E04F3DD" w14:textId="362C52C5" w:rsidR="009C063D" w:rsidRPr="009C063D" w:rsidRDefault="009C063D" w:rsidP="009C063D">
      <w:pPr>
        <w:pStyle w:val="ListParagraph"/>
        <w:numPr>
          <w:ilvl w:val="0"/>
          <w:numId w:val="11"/>
        </w:numPr>
        <w:tabs>
          <w:tab w:val="left" w:pos="2925"/>
        </w:tabs>
        <w:rPr>
          <w:rFonts w:cs="Arial"/>
        </w:rPr>
      </w:pPr>
      <w:r w:rsidRPr="009C063D">
        <w:rPr>
          <w:rFonts w:cs="Arial"/>
        </w:rPr>
        <w:t xml:space="preserve">Place the customer at the centre of all decision making. </w:t>
      </w:r>
    </w:p>
    <w:p w14:paraId="4C1DDB8C" w14:textId="263DB794" w:rsidR="003927AE" w:rsidRPr="009C063D" w:rsidRDefault="009C063D" w:rsidP="009C063D">
      <w:pPr>
        <w:pStyle w:val="ListParagraph"/>
        <w:numPr>
          <w:ilvl w:val="0"/>
          <w:numId w:val="11"/>
        </w:numPr>
        <w:tabs>
          <w:tab w:val="left" w:pos="2925"/>
        </w:tabs>
        <w:rPr>
          <w:rFonts w:cs="Arial"/>
        </w:rPr>
      </w:pPr>
      <w:r w:rsidRPr="009C063D">
        <w:rPr>
          <w:rFonts w:cs="Arial"/>
        </w:rPr>
        <w:t xml:space="preserve">Work with the Line Manager to develop and review meaningful performance management and development plans. </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74A0F970" w14:textId="5C05BBEA" w:rsidR="009C063D" w:rsidRPr="009C063D" w:rsidRDefault="009C063D" w:rsidP="009C063D">
      <w:pPr>
        <w:pStyle w:val="ListParagraph"/>
        <w:numPr>
          <w:ilvl w:val="0"/>
          <w:numId w:val="11"/>
        </w:numPr>
        <w:tabs>
          <w:tab w:val="left" w:pos="2925"/>
        </w:tabs>
        <w:rPr>
          <w:rFonts w:cs="Arial"/>
        </w:rPr>
      </w:pPr>
      <w:r w:rsidRPr="009C063D">
        <w:rPr>
          <w:rFonts w:cs="Arial"/>
        </w:rPr>
        <w:t>Working within a fast-paced environment where requirements may be fluid and under defined.</w:t>
      </w:r>
    </w:p>
    <w:p w14:paraId="5E8E229D" w14:textId="3E1F7265" w:rsidR="009C063D" w:rsidRPr="009C063D" w:rsidRDefault="009C063D" w:rsidP="009C063D">
      <w:pPr>
        <w:pStyle w:val="ListParagraph"/>
        <w:numPr>
          <w:ilvl w:val="0"/>
          <w:numId w:val="11"/>
        </w:numPr>
        <w:tabs>
          <w:tab w:val="left" w:pos="2925"/>
        </w:tabs>
        <w:rPr>
          <w:rFonts w:cs="Arial"/>
        </w:rPr>
      </w:pPr>
      <w:r w:rsidRPr="009C063D">
        <w:rPr>
          <w:rFonts w:cs="Arial"/>
        </w:rPr>
        <w:t>Working within an organisation and providing collegiate support to grow technical skills and disciplines.</w:t>
      </w:r>
    </w:p>
    <w:p w14:paraId="0DD2D4A7" w14:textId="2413292C" w:rsidR="009C063D" w:rsidRPr="009C063D" w:rsidRDefault="009C063D" w:rsidP="009C063D">
      <w:pPr>
        <w:pStyle w:val="ListParagraph"/>
        <w:numPr>
          <w:ilvl w:val="0"/>
          <w:numId w:val="11"/>
        </w:numPr>
        <w:tabs>
          <w:tab w:val="left" w:pos="2925"/>
        </w:tabs>
        <w:rPr>
          <w:rFonts w:cs="Arial"/>
        </w:rPr>
      </w:pPr>
      <w:r w:rsidRPr="009C063D">
        <w:rPr>
          <w:rFonts w:cs="Arial"/>
        </w:rPr>
        <w:t>Rapidly acquiring knowledge about TAFE business domains and requirements.</w:t>
      </w:r>
    </w:p>
    <w:p w14:paraId="31C41C46" w14:textId="07AD7A55" w:rsidR="003927AE" w:rsidRPr="009C063D" w:rsidRDefault="009C063D" w:rsidP="00835945">
      <w:pPr>
        <w:pStyle w:val="ListParagraph"/>
        <w:numPr>
          <w:ilvl w:val="0"/>
          <w:numId w:val="11"/>
        </w:numPr>
        <w:tabs>
          <w:tab w:val="left" w:pos="2925"/>
        </w:tabs>
        <w:rPr>
          <w:rFonts w:cs="Arial"/>
        </w:rPr>
      </w:pPr>
      <w:r w:rsidRPr="009C063D">
        <w:rPr>
          <w:rFonts w:cs="Arial"/>
        </w:rPr>
        <w:lastRenderedPageBreak/>
        <w:t>Maintaining relationships with project managers and stakeholders when the objectives of a project may not align with business objectives</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9C063D" w:rsidRDefault="003927AE" w:rsidP="00A72C86">
            <w:pPr>
              <w:pStyle w:val="TableText"/>
            </w:pPr>
            <w:r w:rsidRPr="009C063D">
              <w:t>Manager</w:t>
            </w:r>
          </w:p>
        </w:tc>
        <w:tc>
          <w:tcPr>
            <w:tcW w:w="7256" w:type="dxa"/>
            <w:tcBorders>
              <w:top w:val="single" w:sz="8" w:space="0" w:color="auto"/>
              <w:bottom w:val="single" w:sz="8" w:space="0" w:color="BCBEC0"/>
            </w:tcBorders>
          </w:tcPr>
          <w:p w14:paraId="2F56547D" w14:textId="79573912" w:rsidR="003927AE" w:rsidRPr="00A15CDB" w:rsidRDefault="009C063D" w:rsidP="009C063D">
            <w:pPr>
              <w:pStyle w:val="TableText"/>
              <w:numPr>
                <w:ilvl w:val="0"/>
                <w:numId w:val="3"/>
              </w:numPr>
            </w:pPr>
            <w:r>
              <w:t xml:space="preserve">Receive leadership, </w:t>
            </w:r>
            <w:proofErr w:type="gramStart"/>
            <w:r>
              <w:t>direction</w:t>
            </w:r>
            <w:proofErr w:type="gramEnd"/>
            <w:r>
              <w:t xml:space="preserve"> and advice. </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9C063D" w:rsidRDefault="003927AE" w:rsidP="00A72C86">
            <w:pPr>
              <w:pStyle w:val="TableText"/>
            </w:pPr>
            <w:r w:rsidRPr="009C063D">
              <w:t xml:space="preserve">Work </w:t>
            </w:r>
            <w:r w:rsidR="002805EE" w:rsidRPr="009C063D">
              <w:t>T</w:t>
            </w:r>
            <w:r w:rsidRPr="009C063D">
              <w:t>eam</w:t>
            </w:r>
          </w:p>
        </w:tc>
        <w:tc>
          <w:tcPr>
            <w:tcW w:w="7256" w:type="dxa"/>
            <w:tcBorders>
              <w:top w:val="single" w:sz="8" w:space="0" w:color="auto"/>
              <w:bottom w:val="single" w:sz="8" w:space="0" w:color="BCBEC0"/>
            </w:tcBorders>
          </w:tcPr>
          <w:p w14:paraId="56048A93" w14:textId="7607DD22" w:rsidR="009C063D" w:rsidRDefault="009C063D" w:rsidP="009C063D">
            <w:pPr>
              <w:pStyle w:val="TableText"/>
              <w:numPr>
                <w:ilvl w:val="0"/>
                <w:numId w:val="3"/>
              </w:numPr>
            </w:pPr>
            <w:r>
              <w:t xml:space="preserve">Guide, support, </w:t>
            </w:r>
            <w:proofErr w:type="gramStart"/>
            <w:r>
              <w:t>coach</w:t>
            </w:r>
            <w:proofErr w:type="gramEnd"/>
            <w:r>
              <w:t xml:space="preserve"> and mentor team members.</w:t>
            </w:r>
          </w:p>
          <w:p w14:paraId="71B8187E" w14:textId="23B08903" w:rsidR="009C063D" w:rsidRDefault="009C063D" w:rsidP="009C063D">
            <w:pPr>
              <w:pStyle w:val="TableText"/>
              <w:numPr>
                <w:ilvl w:val="0"/>
                <w:numId w:val="3"/>
              </w:numPr>
            </w:pPr>
            <w:r>
              <w:t xml:space="preserve">Work collaboratively and contribute to achieving the team’s business outcomes. </w:t>
            </w:r>
          </w:p>
          <w:p w14:paraId="4B53CC58" w14:textId="26BB4CCD" w:rsidR="003927AE" w:rsidRPr="00A15CDB" w:rsidRDefault="009C063D" w:rsidP="009C063D">
            <w:pPr>
              <w:pStyle w:val="TableText"/>
              <w:numPr>
                <w:ilvl w:val="0"/>
                <w:numId w:val="3"/>
              </w:numPr>
            </w:pPr>
            <w:r>
              <w:t xml:space="preserve">Identify emerging issues/risks and their implication and propose solutions. </w:t>
            </w:r>
          </w:p>
        </w:tc>
      </w:tr>
      <w:tr w:rsidR="003927AE" w:rsidRPr="00A8245E" w14:paraId="3B55100D" w14:textId="77777777" w:rsidTr="00E55704">
        <w:tc>
          <w:tcPr>
            <w:tcW w:w="3601" w:type="dxa"/>
            <w:shd w:val="clear" w:color="auto" w:fill="BCBEC0"/>
          </w:tcPr>
          <w:p w14:paraId="6CA1A5CF" w14:textId="77777777" w:rsidR="003927AE" w:rsidRPr="009C063D" w:rsidRDefault="003927AE" w:rsidP="00A72C86">
            <w:pPr>
              <w:pStyle w:val="TableText"/>
              <w:keepNext/>
              <w:rPr>
                <w:b/>
              </w:rPr>
            </w:pPr>
            <w:r w:rsidRPr="009C063D">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5C0D72F5" w:rsidR="003927AE" w:rsidRPr="009C063D" w:rsidRDefault="009C063D" w:rsidP="00A72C86">
            <w:pPr>
              <w:pStyle w:val="TableText"/>
            </w:pPr>
            <w:r w:rsidRPr="009C063D">
              <w:t xml:space="preserve">Stakeholders </w:t>
            </w:r>
          </w:p>
        </w:tc>
        <w:tc>
          <w:tcPr>
            <w:tcW w:w="7256" w:type="dxa"/>
            <w:tcBorders>
              <w:top w:val="single" w:sz="8" w:space="0" w:color="auto"/>
              <w:bottom w:val="single" w:sz="8" w:space="0" w:color="BCBEC0"/>
            </w:tcBorders>
          </w:tcPr>
          <w:p w14:paraId="191F40D3" w14:textId="11EBA9D4" w:rsidR="009C063D" w:rsidRDefault="009C063D" w:rsidP="009C063D">
            <w:pPr>
              <w:pStyle w:val="TableText"/>
              <w:numPr>
                <w:ilvl w:val="0"/>
                <w:numId w:val="3"/>
              </w:numPr>
            </w:pPr>
            <w:r>
              <w:t xml:space="preserve">Provide expert advice on project related issues. </w:t>
            </w:r>
          </w:p>
          <w:p w14:paraId="1AE164FF" w14:textId="2BB51D28" w:rsidR="009C063D" w:rsidRDefault="009C063D" w:rsidP="009C063D">
            <w:pPr>
              <w:pStyle w:val="TableText"/>
              <w:numPr>
                <w:ilvl w:val="0"/>
                <w:numId w:val="3"/>
              </w:numPr>
            </w:pPr>
            <w:r>
              <w:t xml:space="preserve">Report and provide updates on project progress. </w:t>
            </w:r>
          </w:p>
          <w:p w14:paraId="731980DB" w14:textId="67A04178" w:rsidR="003927AE" w:rsidRPr="00A15CDB" w:rsidRDefault="009C063D" w:rsidP="009C063D">
            <w:pPr>
              <w:pStyle w:val="TableText"/>
              <w:numPr>
                <w:ilvl w:val="0"/>
                <w:numId w:val="3"/>
              </w:numPr>
            </w:pPr>
            <w:r>
              <w:t xml:space="preserve">Consult and collaborate to resolve project related issues, define mutual interests. and determine strategies to achieve their realisation. </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4DD7CFB5" w14:textId="0051141C" w:rsidR="009C063D" w:rsidRPr="009C063D" w:rsidRDefault="009C063D" w:rsidP="009C063D">
      <w:pPr>
        <w:pStyle w:val="ListParagraph"/>
        <w:numPr>
          <w:ilvl w:val="0"/>
          <w:numId w:val="11"/>
        </w:numPr>
        <w:tabs>
          <w:tab w:val="left" w:pos="2925"/>
        </w:tabs>
        <w:rPr>
          <w:rFonts w:cs="Arial"/>
        </w:rPr>
      </w:pPr>
      <w:r w:rsidRPr="009C063D">
        <w:rPr>
          <w:rFonts w:cs="Arial"/>
        </w:rPr>
        <w:t>Makes decision on complex and sensitive issues that are based on professional judgement, evaluating risk and in the context of a complex and changing environment.</w:t>
      </w:r>
    </w:p>
    <w:p w14:paraId="76CDF94F" w14:textId="7D3E6197" w:rsidR="008E402F" w:rsidRDefault="009C063D" w:rsidP="009C063D">
      <w:pPr>
        <w:pStyle w:val="ListParagraph"/>
        <w:numPr>
          <w:ilvl w:val="0"/>
          <w:numId w:val="11"/>
        </w:numPr>
        <w:tabs>
          <w:tab w:val="left" w:pos="2925"/>
        </w:tabs>
      </w:pPr>
      <w:r w:rsidRPr="009C063D">
        <w:rPr>
          <w:rFonts w:cs="Arial"/>
        </w:rPr>
        <w:t>Matters</w:t>
      </w:r>
      <w:r>
        <w:t xml:space="preserve"> requiring a higher level of approval are referred to the Reporting Line Manager.</w:t>
      </w:r>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lastRenderedPageBreak/>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1"/>
        <w:gridCol w:w="6049"/>
        <w:gridCol w:w="1315"/>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9C063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9"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5"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F51A0E" w14:paraId="6C984D2A" w14:textId="77777777" w:rsidTr="009C063D">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8" w:space="0" w:color="D9D9D9" w:themeColor="background1" w:themeShade="D9"/>
            </w:tcBorders>
          </w:tcPr>
          <w:p w14:paraId="5A9498F1" w14:textId="07230864" w:rsidR="00F51A0E" w:rsidRPr="00DB7774" w:rsidRDefault="00F51A0E" w:rsidP="00F51A0E">
            <w:pPr>
              <w:spacing w:before="120" w:line="276" w:lineRule="auto"/>
              <w:rPr>
                <w:rFonts w:ascii="Arial" w:hAnsi="Arial" w:cs="Arial"/>
                <w:sz w:val="20"/>
                <w:szCs w:val="20"/>
              </w:rPr>
            </w:pPr>
            <w:r>
              <w:rPr>
                <w:noProof/>
                <w:lang w:eastAsia="en-AU"/>
              </w:rPr>
              <w:drawing>
                <wp:inline distT="0" distB="0" distL="0" distR="0" wp14:anchorId="6605873F" wp14:editId="7D225F14">
                  <wp:extent cx="758825" cy="758825"/>
                  <wp:effectExtent l="0" t="0" r="3175" b="3175"/>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751" w:type="dxa"/>
            <w:tcBorders>
              <w:top w:val="single" w:sz="18" w:space="0" w:color="auto"/>
              <w:bottom w:val="single" w:sz="8" w:space="0" w:color="D9D9D9" w:themeColor="background1" w:themeShade="D9"/>
            </w:tcBorders>
          </w:tcPr>
          <w:p w14:paraId="11BC3E14" w14:textId="0E217BFF" w:rsidR="00F51A0E" w:rsidRPr="00DB7774" w:rsidRDefault="00F51A0E" w:rsidP="00F51A0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Manage Self</w:t>
            </w:r>
            <w:r w:rsidRPr="00814ED6">
              <w:rPr>
                <w:rFonts w:ascii="Arial" w:hAnsi="Arial" w:cs="Arial"/>
                <w:color w:val="000000"/>
                <w:sz w:val="20"/>
                <w:szCs w:val="20"/>
              </w:rPr>
              <w:t xml:space="preserve">                            Show drive and motivation, an ability to self-reflect and a commitment to learning</w:t>
            </w:r>
          </w:p>
        </w:tc>
        <w:tc>
          <w:tcPr>
            <w:tcW w:w="6049" w:type="dxa"/>
            <w:tcBorders>
              <w:top w:val="single" w:sz="18" w:space="0" w:color="auto"/>
              <w:bottom w:val="single" w:sz="8" w:space="0" w:color="D9D9D9" w:themeColor="background1" w:themeShade="D9"/>
            </w:tcBorders>
          </w:tcPr>
          <w:p w14:paraId="359EADDE" w14:textId="77777777" w:rsidR="00F51A0E" w:rsidRDefault="00F51A0E" w:rsidP="00F51A0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Keep up to date with relevant contemporary knowledge and practices</w:t>
            </w:r>
            <w:r w:rsidRPr="008574EE">
              <w:rPr>
                <w:rFonts w:ascii="Arial" w:hAnsi="Arial" w:cs="Arial"/>
                <w:sz w:val="20"/>
                <w:szCs w:val="20"/>
              </w:rPr>
              <w:tab/>
            </w:r>
          </w:p>
          <w:p w14:paraId="2380FB63" w14:textId="77777777" w:rsidR="00F51A0E" w:rsidRDefault="00F51A0E" w:rsidP="00F51A0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Look for and take advantage of opportunities to learn new skills and develop strengths</w:t>
            </w:r>
            <w:r w:rsidRPr="008574EE">
              <w:rPr>
                <w:rFonts w:ascii="Arial" w:hAnsi="Arial" w:cs="Arial"/>
                <w:sz w:val="20"/>
                <w:szCs w:val="20"/>
              </w:rPr>
              <w:tab/>
            </w:r>
          </w:p>
          <w:p w14:paraId="2638C15C" w14:textId="77777777" w:rsidR="00F51A0E" w:rsidRDefault="00F51A0E" w:rsidP="00F51A0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Show commitment to achieving challenging goals</w:t>
            </w:r>
            <w:r w:rsidRPr="008574EE">
              <w:rPr>
                <w:rFonts w:ascii="Arial" w:hAnsi="Arial" w:cs="Arial"/>
                <w:sz w:val="20"/>
                <w:szCs w:val="20"/>
              </w:rPr>
              <w:tab/>
            </w:r>
          </w:p>
          <w:p w14:paraId="6A5EA955" w14:textId="77777777" w:rsidR="00F51A0E" w:rsidRDefault="00F51A0E" w:rsidP="00F51A0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Examine and reflect on own performance</w:t>
            </w:r>
            <w:r w:rsidRPr="008574EE">
              <w:rPr>
                <w:rFonts w:ascii="Arial" w:hAnsi="Arial" w:cs="Arial"/>
                <w:sz w:val="20"/>
                <w:szCs w:val="20"/>
              </w:rPr>
              <w:tab/>
            </w:r>
          </w:p>
          <w:p w14:paraId="4C930396" w14:textId="77777777" w:rsidR="00F51A0E" w:rsidRDefault="00F51A0E" w:rsidP="00F51A0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Seek and respond positively to constructive feedback and guidance</w:t>
            </w:r>
            <w:r w:rsidRPr="008574EE">
              <w:rPr>
                <w:rFonts w:ascii="Arial" w:hAnsi="Arial" w:cs="Arial"/>
                <w:sz w:val="20"/>
                <w:szCs w:val="20"/>
              </w:rPr>
              <w:tab/>
            </w:r>
          </w:p>
          <w:p w14:paraId="4A21A140" w14:textId="3EFD65F0" w:rsidR="00F51A0E" w:rsidRPr="00DB7774" w:rsidRDefault="00F51A0E" w:rsidP="00F51A0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Demonstrate and maintain a high level of personal motivation</w:t>
            </w:r>
          </w:p>
        </w:tc>
        <w:tc>
          <w:tcPr>
            <w:tcW w:w="1315" w:type="dxa"/>
            <w:tcBorders>
              <w:top w:val="single" w:sz="18" w:space="0" w:color="auto"/>
              <w:bottom w:val="single" w:sz="8" w:space="0" w:color="D9D9D9" w:themeColor="background1" w:themeShade="D9"/>
              <w:right w:val="single" w:sz="8" w:space="0" w:color="FFFFFF" w:themeColor="background1"/>
            </w:tcBorders>
          </w:tcPr>
          <w:p w14:paraId="0733E301" w14:textId="1A3C76DD" w:rsidR="00F51A0E" w:rsidRPr="00DB7774" w:rsidRDefault="00F51A0E" w:rsidP="00F51A0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F51A0E" w14:paraId="0E9389A9" w14:textId="77777777" w:rsidTr="00161974">
        <w:trPr>
          <w:trHeight w:val="16"/>
        </w:trPr>
        <w:tc>
          <w:tcPr>
            <w:cnfStyle w:val="001000000000" w:firstRow="0" w:lastRow="0" w:firstColumn="1" w:lastColumn="0" w:oddVBand="0" w:evenVBand="0" w:oddHBand="0" w:evenHBand="0" w:firstRowFirstColumn="0" w:firstRowLastColumn="0" w:lastRowFirstColumn="0" w:lastRowLastColumn="0"/>
            <w:tcW w:w="1759" w:type="dxa"/>
            <w:vMerge w:val="restart"/>
            <w:tcBorders>
              <w:top w:val="single" w:sz="8" w:space="0" w:color="D9D9D9" w:themeColor="background1" w:themeShade="D9"/>
              <w:left w:val="single" w:sz="8" w:space="0" w:color="FFFFFF" w:themeColor="background1"/>
            </w:tcBorders>
          </w:tcPr>
          <w:p w14:paraId="29D5401E" w14:textId="5679FFC4" w:rsidR="00F51A0E" w:rsidRPr="00DB7774" w:rsidRDefault="00F51A0E" w:rsidP="00F51A0E">
            <w:pPr>
              <w:spacing w:before="120" w:line="276" w:lineRule="auto"/>
              <w:rPr>
                <w:rFonts w:ascii="Arial" w:hAnsi="Arial" w:cs="Arial"/>
                <w:sz w:val="20"/>
                <w:szCs w:val="20"/>
              </w:rPr>
            </w:pPr>
            <w:r>
              <w:rPr>
                <w:noProof/>
                <w:lang w:eastAsia="en-AU"/>
              </w:rPr>
              <w:drawing>
                <wp:inline distT="0" distB="0" distL="0" distR="0" wp14:anchorId="2155E76F" wp14:editId="779C5002">
                  <wp:extent cx="758825" cy="758825"/>
                  <wp:effectExtent l="0" t="0" r="3175" b="3175"/>
                  <wp:docPr id="19" name="Picture 1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5097C1D" w14:textId="42B64FE4" w:rsidR="00F51A0E" w:rsidRPr="00DB7774" w:rsidRDefault="00F51A0E" w:rsidP="00F51A0E">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Communicate Effectively</w:t>
            </w:r>
            <w:r w:rsidRPr="00814ED6">
              <w:rPr>
                <w:rFonts w:ascii="Arial" w:hAnsi="Arial" w:cs="Arial"/>
                <w:color w:val="000000"/>
                <w:sz w:val="20"/>
                <w:szCs w:val="20"/>
              </w:rPr>
              <w:t xml:space="preserve">                            Communicate clearly, actively listen to others, and respond with understanding and respect</w:t>
            </w:r>
          </w:p>
        </w:tc>
        <w:tc>
          <w:tcPr>
            <w:tcW w:w="6049" w:type="dxa"/>
            <w:tcBorders>
              <w:top w:val="single" w:sz="8" w:space="0" w:color="D9D9D9" w:themeColor="background1" w:themeShade="D9"/>
              <w:bottom w:val="single" w:sz="8" w:space="0" w:color="D9D9D9" w:themeColor="background1" w:themeShade="D9"/>
            </w:tcBorders>
          </w:tcPr>
          <w:p w14:paraId="75F6ADB2" w14:textId="77777777" w:rsidR="00F51A0E" w:rsidRDefault="00F51A0E" w:rsidP="00F51A0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A0E">
              <w:rPr>
                <w:rFonts w:ascii="Arial" w:hAnsi="Arial" w:cs="Arial"/>
                <w:sz w:val="20"/>
                <w:szCs w:val="20"/>
              </w:rPr>
              <w:t>Tailor communication to diverse audiences</w:t>
            </w:r>
            <w:r w:rsidRPr="00F51A0E">
              <w:rPr>
                <w:rFonts w:ascii="Arial" w:hAnsi="Arial" w:cs="Arial"/>
                <w:sz w:val="20"/>
                <w:szCs w:val="20"/>
              </w:rPr>
              <w:tab/>
            </w:r>
          </w:p>
          <w:p w14:paraId="2B72483A" w14:textId="77777777" w:rsidR="00F51A0E" w:rsidRDefault="00F51A0E" w:rsidP="00F51A0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A0E">
              <w:rPr>
                <w:rFonts w:ascii="Arial" w:hAnsi="Arial" w:cs="Arial"/>
                <w:sz w:val="20"/>
                <w:szCs w:val="20"/>
              </w:rPr>
              <w:t>Clearly explain complex concepts and arguments to individuals and groups</w:t>
            </w:r>
            <w:r w:rsidRPr="00F51A0E">
              <w:rPr>
                <w:rFonts w:ascii="Arial" w:hAnsi="Arial" w:cs="Arial"/>
                <w:sz w:val="20"/>
                <w:szCs w:val="20"/>
              </w:rPr>
              <w:tab/>
            </w:r>
          </w:p>
          <w:p w14:paraId="28F6B36B" w14:textId="77777777" w:rsidR="00F51A0E" w:rsidRDefault="00F51A0E" w:rsidP="00F51A0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A0E">
              <w:rPr>
                <w:rFonts w:ascii="Arial" w:hAnsi="Arial" w:cs="Arial"/>
                <w:sz w:val="20"/>
                <w:szCs w:val="20"/>
              </w:rPr>
              <w:t xml:space="preserve">Create opportunities for others to be heard, listen </w:t>
            </w:r>
            <w:proofErr w:type="gramStart"/>
            <w:r w:rsidRPr="00F51A0E">
              <w:rPr>
                <w:rFonts w:ascii="Arial" w:hAnsi="Arial" w:cs="Arial"/>
                <w:sz w:val="20"/>
                <w:szCs w:val="20"/>
              </w:rPr>
              <w:t>attentively</w:t>
            </w:r>
            <w:proofErr w:type="gramEnd"/>
            <w:r w:rsidRPr="00F51A0E">
              <w:rPr>
                <w:rFonts w:ascii="Arial" w:hAnsi="Arial" w:cs="Arial"/>
                <w:sz w:val="20"/>
                <w:szCs w:val="20"/>
              </w:rPr>
              <w:t xml:space="preserve"> and encourage them to express their views</w:t>
            </w:r>
            <w:r w:rsidRPr="00F51A0E">
              <w:rPr>
                <w:rFonts w:ascii="Arial" w:hAnsi="Arial" w:cs="Arial"/>
                <w:sz w:val="20"/>
                <w:szCs w:val="20"/>
              </w:rPr>
              <w:tab/>
            </w:r>
          </w:p>
          <w:p w14:paraId="56E31784" w14:textId="521C7664" w:rsidR="00F51A0E" w:rsidRDefault="00F51A0E" w:rsidP="00F51A0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A0E">
              <w:rPr>
                <w:rFonts w:ascii="Arial" w:hAnsi="Arial" w:cs="Arial"/>
                <w:sz w:val="20"/>
                <w:szCs w:val="20"/>
              </w:rPr>
              <w:t>Share information across teams and units to enable informed decision making</w:t>
            </w:r>
            <w:r w:rsidRPr="00F51A0E">
              <w:rPr>
                <w:rFonts w:ascii="Arial" w:hAnsi="Arial" w:cs="Arial"/>
                <w:sz w:val="20"/>
                <w:szCs w:val="20"/>
              </w:rPr>
              <w:tab/>
            </w:r>
          </w:p>
          <w:p w14:paraId="58C9172F" w14:textId="77777777" w:rsidR="00F51A0E" w:rsidRDefault="00F51A0E" w:rsidP="00F51A0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A0E">
              <w:rPr>
                <w:rFonts w:ascii="Arial" w:hAnsi="Arial" w:cs="Arial"/>
                <w:sz w:val="20"/>
                <w:szCs w:val="20"/>
              </w:rPr>
              <w:t>Write fluently in plain English and in a range of styles and formats</w:t>
            </w:r>
            <w:r w:rsidRPr="00F51A0E">
              <w:rPr>
                <w:rFonts w:ascii="Arial" w:hAnsi="Arial" w:cs="Arial"/>
                <w:sz w:val="20"/>
                <w:szCs w:val="20"/>
              </w:rPr>
              <w:tab/>
            </w:r>
          </w:p>
          <w:p w14:paraId="4755B4B8" w14:textId="610A075B" w:rsidR="00F51A0E" w:rsidRPr="00DB7774" w:rsidRDefault="00F51A0E" w:rsidP="00F51A0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A0E">
              <w:rPr>
                <w:rFonts w:ascii="Arial" w:hAnsi="Arial" w:cs="Arial"/>
                <w:sz w:val="20"/>
                <w:szCs w:val="20"/>
              </w:rPr>
              <w:t>Use contemporary communication channels to share information, engage and interact with diverse audiences</w:t>
            </w:r>
            <w:r w:rsidRPr="00F51A0E">
              <w:rPr>
                <w:rFonts w:ascii="Arial" w:hAnsi="Arial" w:cs="Arial"/>
                <w:sz w:val="20"/>
                <w:szCs w:val="20"/>
              </w:rPr>
              <w:tab/>
            </w:r>
            <w:r w:rsidRPr="00F51A0E">
              <w:rPr>
                <w:rFonts w:ascii="Arial" w:hAnsi="Arial" w:cs="Arial"/>
                <w:sz w:val="20"/>
                <w:szCs w:val="20"/>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755222FC" w:rsidR="00F51A0E" w:rsidRPr="00DB7774" w:rsidRDefault="00F51A0E" w:rsidP="00F51A0E">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F51A0E" w14:paraId="4C104899" w14:textId="77777777" w:rsidTr="00161974">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single" w:sz="8" w:space="0" w:color="D9D9D9" w:themeColor="background1" w:themeShade="D9"/>
            </w:tcBorders>
          </w:tcPr>
          <w:p w14:paraId="4D14DA68" w14:textId="73922EB8" w:rsidR="00F51A0E" w:rsidRPr="00DB7774" w:rsidRDefault="00F51A0E" w:rsidP="00DB7774">
            <w:pPr>
              <w:spacing w:before="120" w:line="276" w:lineRule="auto"/>
              <w:rPr>
                <w:rFonts w:ascii="Arial" w:hAnsi="Arial" w:cs="Arial"/>
                <w:sz w:val="20"/>
                <w:szCs w:val="20"/>
              </w:rPr>
            </w:pPr>
          </w:p>
        </w:tc>
        <w:tc>
          <w:tcPr>
            <w:tcW w:w="1751" w:type="dxa"/>
            <w:tcBorders>
              <w:top w:val="single" w:sz="8" w:space="0" w:color="D9D9D9" w:themeColor="background1" w:themeShade="D9"/>
              <w:bottom w:val="single" w:sz="8" w:space="0" w:color="D9D9D9" w:themeColor="background1" w:themeShade="D9"/>
            </w:tcBorders>
          </w:tcPr>
          <w:p w14:paraId="30F6FC7A" w14:textId="77777777" w:rsidR="00F51A0E" w:rsidRDefault="00F51A0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A0E">
              <w:rPr>
                <w:rFonts w:ascii="Arial" w:hAnsi="Arial" w:cs="Arial"/>
                <w:b/>
                <w:bCs/>
                <w:color w:val="000000"/>
                <w:sz w:val="20"/>
                <w:szCs w:val="20"/>
              </w:rPr>
              <w:t>Work Collaboratively</w:t>
            </w:r>
          </w:p>
          <w:p w14:paraId="4744C115" w14:textId="77777777" w:rsidR="00F51A0E" w:rsidRPr="00F51A0E" w:rsidRDefault="00F51A0E" w:rsidP="00F51A0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A0E">
              <w:rPr>
                <w:rFonts w:ascii="Arial" w:hAnsi="Arial" w:cs="Arial"/>
                <w:color w:val="000000"/>
                <w:sz w:val="20"/>
                <w:szCs w:val="20"/>
              </w:rPr>
              <w:t>Collaborate with others and value their contribution</w:t>
            </w:r>
          </w:p>
          <w:p w14:paraId="340BA298" w14:textId="30867303" w:rsidR="00F51A0E" w:rsidRPr="00DB7774" w:rsidRDefault="00F51A0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049" w:type="dxa"/>
            <w:tcBorders>
              <w:top w:val="single" w:sz="8" w:space="0" w:color="D9D9D9" w:themeColor="background1" w:themeShade="D9"/>
              <w:bottom w:val="single" w:sz="8" w:space="0" w:color="D9D9D9" w:themeColor="background1" w:themeShade="D9"/>
            </w:tcBorders>
          </w:tcPr>
          <w:p w14:paraId="27CB5F54" w14:textId="77777777" w:rsid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Encourage a culture that recognises the value of collaboration</w:t>
            </w:r>
            <w:r w:rsidRPr="009B2D2C">
              <w:rPr>
                <w:rFonts w:ascii="Arial" w:hAnsi="Arial" w:cs="Arial"/>
                <w:sz w:val="20"/>
                <w:szCs w:val="20"/>
              </w:rPr>
              <w:tab/>
            </w:r>
          </w:p>
          <w:p w14:paraId="6422B71F" w14:textId="77777777" w:rsid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Build cooperation and overcome barriers to information sharing and communication across teams and units</w:t>
            </w:r>
            <w:r w:rsidRPr="009B2D2C">
              <w:rPr>
                <w:rFonts w:ascii="Arial" w:hAnsi="Arial" w:cs="Arial"/>
                <w:sz w:val="20"/>
                <w:szCs w:val="20"/>
              </w:rPr>
              <w:tab/>
            </w:r>
          </w:p>
          <w:p w14:paraId="7A818D00" w14:textId="22D81168" w:rsid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Share lessons learned across teams and units</w:t>
            </w:r>
            <w:r w:rsidRPr="009B2D2C">
              <w:rPr>
                <w:rFonts w:ascii="Arial" w:hAnsi="Arial" w:cs="Arial"/>
                <w:sz w:val="20"/>
                <w:szCs w:val="20"/>
              </w:rPr>
              <w:tab/>
            </w:r>
          </w:p>
          <w:p w14:paraId="1CECDD2C" w14:textId="77777777" w:rsid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w:t>
            </w:r>
            <w:r w:rsidRPr="009B2D2C">
              <w:rPr>
                <w:rFonts w:ascii="Arial" w:hAnsi="Arial" w:cs="Arial"/>
                <w:sz w:val="20"/>
                <w:szCs w:val="20"/>
              </w:rPr>
              <w:t>dentify opportunities to leverage the strengths of others to solve issues and develop better processes and approaches to work</w:t>
            </w:r>
            <w:r w:rsidRPr="009B2D2C">
              <w:rPr>
                <w:rFonts w:ascii="Arial" w:hAnsi="Arial" w:cs="Arial"/>
                <w:sz w:val="20"/>
                <w:szCs w:val="20"/>
              </w:rPr>
              <w:tab/>
            </w:r>
          </w:p>
          <w:p w14:paraId="11E16C4C" w14:textId="77777777" w:rsid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Actively use collaboration tools, including digital technologies, to engage diverse audiences in solving problems and improving services</w:t>
            </w:r>
            <w:r w:rsidRPr="009B2D2C">
              <w:rPr>
                <w:rFonts w:ascii="Arial" w:hAnsi="Arial" w:cs="Arial"/>
                <w:sz w:val="20"/>
                <w:szCs w:val="20"/>
              </w:rPr>
              <w:tab/>
            </w:r>
          </w:p>
          <w:p w14:paraId="13CE63D1" w14:textId="77777777" w:rsidR="00F51A0E" w:rsidRDefault="009B2D2C" w:rsidP="009B2D2C">
            <w:pPr>
              <w:pStyle w:val="ListParagraph"/>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ab/>
            </w:r>
          </w:p>
          <w:p w14:paraId="50059E88" w14:textId="77777777" w:rsidR="009B2D2C" w:rsidRDefault="009B2D2C" w:rsidP="009B2D2C">
            <w:pPr>
              <w:pStyle w:val="ListParagraph"/>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D12A59" w14:textId="77777777" w:rsidR="009B2D2C" w:rsidRDefault="009B2D2C" w:rsidP="009B2D2C">
            <w:pPr>
              <w:pStyle w:val="ListParagraph"/>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D14BEFC" w14:textId="029FAD8A" w:rsidR="009B2D2C" w:rsidRPr="00DB7774" w:rsidRDefault="009B2D2C" w:rsidP="009B2D2C">
            <w:pPr>
              <w:pStyle w:val="ListParagraph"/>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7929E827" w:rsidR="00F51A0E" w:rsidRPr="00DB7774" w:rsidRDefault="009B2D2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9B2D2C" w14:paraId="0B1E5AD0" w14:textId="77777777" w:rsidTr="005C3943">
        <w:trPr>
          <w:trHeight w:val="5"/>
        </w:trPr>
        <w:tc>
          <w:tcPr>
            <w:cnfStyle w:val="001000000000" w:firstRow="0" w:lastRow="0" w:firstColumn="1" w:lastColumn="0" w:oddVBand="0" w:evenVBand="0" w:oddHBand="0" w:evenHBand="0" w:firstRowFirstColumn="0" w:firstRowLastColumn="0" w:lastRowFirstColumn="0" w:lastRowLastColumn="0"/>
            <w:tcW w:w="1759" w:type="dxa"/>
            <w:vMerge w:val="restart"/>
            <w:tcBorders>
              <w:top w:val="single" w:sz="8" w:space="0" w:color="D9D9D9" w:themeColor="background1" w:themeShade="D9"/>
              <w:left w:val="single" w:sz="8" w:space="0" w:color="FFFFFF" w:themeColor="background1"/>
            </w:tcBorders>
          </w:tcPr>
          <w:p w14:paraId="27BDFC89" w14:textId="546E4DBD" w:rsidR="009B2D2C" w:rsidRPr="00DB7774" w:rsidRDefault="009B2D2C" w:rsidP="00DB7774">
            <w:pPr>
              <w:spacing w:before="120" w:line="276" w:lineRule="auto"/>
              <w:rPr>
                <w:rFonts w:ascii="Arial" w:hAnsi="Arial" w:cs="Arial"/>
                <w:sz w:val="20"/>
                <w:szCs w:val="20"/>
              </w:rPr>
            </w:pPr>
            <w:r>
              <w:rPr>
                <w:noProof/>
                <w:lang w:eastAsia="en-AU"/>
              </w:rPr>
              <w:lastRenderedPageBreak/>
              <w:drawing>
                <wp:inline distT="0" distB="0" distL="0" distR="0" wp14:anchorId="26A9237A" wp14:editId="41C2D4AA">
                  <wp:extent cx="758825" cy="758825"/>
                  <wp:effectExtent l="0" t="0" r="3175" b="3175"/>
                  <wp:docPr id="18" name="Picture 1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11706B56" w14:textId="77777777" w:rsidR="009B2D2C" w:rsidRDefault="009B2D2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b/>
                <w:bCs/>
                <w:color w:val="000000"/>
                <w:sz w:val="20"/>
                <w:szCs w:val="20"/>
              </w:rPr>
              <w:t>Plan and Prioritise</w:t>
            </w:r>
            <w:r w:rsidRPr="009B2D2C">
              <w:rPr>
                <w:rFonts w:ascii="Arial" w:hAnsi="Arial" w:cs="Arial"/>
                <w:sz w:val="20"/>
                <w:szCs w:val="20"/>
              </w:rPr>
              <w:tab/>
            </w:r>
          </w:p>
          <w:p w14:paraId="3E8DDD46" w14:textId="732299BA" w:rsidR="009B2D2C" w:rsidRPr="00DB7774" w:rsidRDefault="009B2D2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color w:val="000000"/>
                <w:sz w:val="20"/>
                <w:szCs w:val="20"/>
              </w:rPr>
              <w:t>Plan to achieve priority outcomes and respond flexibly to changing circumstances</w:t>
            </w:r>
          </w:p>
        </w:tc>
        <w:tc>
          <w:tcPr>
            <w:tcW w:w="6049" w:type="dxa"/>
            <w:tcBorders>
              <w:top w:val="single" w:sz="8" w:space="0" w:color="D9D9D9" w:themeColor="background1" w:themeShade="D9"/>
              <w:bottom w:val="single" w:sz="8" w:space="0" w:color="D9D9D9" w:themeColor="background1" w:themeShade="D9"/>
            </w:tcBorders>
          </w:tcPr>
          <w:p w14:paraId="2747C9AC" w14:textId="77777777" w:rsidR="00695BF4"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sz w:val="20"/>
                <w:szCs w:val="20"/>
              </w:rPr>
              <w:t>Consider the future aims and goals of the team, unit and organisation when prioritising own and others’ work</w:t>
            </w:r>
            <w:r w:rsidRPr="009B2D2C">
              <w:rPr>
                <w:rFonts w:ascii="Arial" w:hAnsi="Arial" w:cs="Arial"/>
                <w:sz w:val="20"/>
                <w:szCs w:val="20"/>
              </w:rPr>
              <w:tab/>
            </w:r>
          </w:p>
          <w:p w14:paraId="18C9DE4D" w14:textId="64E4596E"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sz w:val="20"/>
                <w:szCs w:val="20"/>
              </w:rPr>
              <w:t xml:space="preserve">Initiate, prioritise, consult </w:t>
            </w:r>
            <w:proofErr w:type="gramStart"/>
            <w:r w:rsidRPr="009B2D2C">
              <w:rPr>
                <w:rFonts w:ascii="Arial" w:hAnsi="Arial" w:cs="Arial"/>
                <w:sz w:val="20"/>
                <w:szCs w:val="20"/>
              </w:rPr>
              <w:t>on</w:t>
            </w:r>
            <w:proofErr w:type="gramEnd"/>
            <w:r w:rsidRPr="009B2D2C">
              <w:rPr>
                <w:rFonts w:ascii="Arial" w:hAnsi="Arial" w:cs="Arial"/>
                <w:sz w:val="20"/>
                <w:szCs w:val="20"/>
              </w:rPr>
              <w:t xml:space="preserve"> and develop team and unit goals, strategies and plans</w:t>
            </w:r>
            <w:r w:rsidRPr="009B2D2C">
              <w:rPr>
                <w:rFonts w:ascii="Arial" w:hAnsi="Arial" w:cs="Arial"/>
                <w:sz w:val="20"/>
                <w:szCs w:val="20"/>
              </w:rPr>
              <w:tab/>
            </w:r>
          </w:p>
          <w:p w14:paraId="2F53ADF3" w14:textId="77777777"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sz w:val="20"/>
                <w:szCs w:val="20"/>
              </w:rPr>
              <w:t>Anticipate and assess the impact of changes, including government policy and economic conditions, on team and unit objectives and initiate appropriate responses</w:t>
            </w:r>
            <w:r w:rsidRPr="009B2D2C">
              <w:rPr>
                <w:rFonts w:ascii="Arial" w:hAnsi="Arial" w:cs="Arial"/>
                <w:sz w:val="20"/>
                <w:szCs w:val="20"/>
              </w:rPr>
              <w:tab/>
            </w:r>
          </w:p>
          <w:p w14:paraId="4A700821" w14:textId="77777777"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sz w:val="20"/>
                <w:szCs w:val="20"/>
              </w:rPr>
              <w:t>Ensure current work plans and activities support and are consistent with organisational change initiatives</w:t>
            </w:r>
            <w:r w:rsidRPr="009B2D2C">
              <w:rPr>
                <w:rFonts w:ascii="Arial" w:hAnsi="Arial" w:cs="Arial"/>
                <w:sz w:val="20"/>
                <w:szCs w:val="20"/>
              </w:rPr>
              <w:tab/>
            </w:r>
          </w:p>
          <w:p w14:paraId="4955A89E" w14:textId="38450225" w:rsidR="009B2D2C" w:rsidRPr="00DB7774"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9B2D2C">
              <w:rPr>
                <w:rFonts w:ascii="Arial" w:hAnsi="Arial" w:cs="Arial"/>
                <w:sz w:val="20"/>
                <w:szCs w:val="20"/>
              </w:rPr>
              <w:t xml:space="preserve">Evaluate outcomes and adjust </w:t>
            </w:r>
            <w:proofErr w:type="gramStart"/>
            <w:r w:rsidRPr="009B2D2C">
              <w:rPr>
                <w:rFonts w:ascii="Arial" w:hAnsi="Arial" w:cs="Arial"/>
                <w:sz w:val="20"/>
                <w:szCs w:val="20"/>
              </w:rPr>
              <w:t>future plans</w:t>
            </w:r>
            <w:proofErr w:type="gramEnd"/>
            <w:r w:rsidRPr="009B2D2C">
              <w:rPr>
                <w:rFonts w:ascii="Arial" w:hAnsi="Arial" w:cs="Arial"/>
                <w:sz w:val="20"/>
                <w:szCs w:val="20"/>
              </w:rPr>
              <w:t xml:space="preserve"> accordingly</w:t>
            </w:r>
            <w:r w:rsidRPr="009B2D2C">
              <w:rPr>
                <w:rFonts w:cs="Arial"/>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4DBC7427" w:rsidR="009B2D2C" w:rsidRPr="00DB7774" w:rsidRDefault="009B2D2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9B2D2C" w14:paraId="7312572C" w14:textId="77777777" w:rsidTr="009B2D2C">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single" w:sz="8" w:space="0" w:color="BCBEC0"/>
            </w:tcBorders>
          </w:tcPr>
          <w:p w14:paraId="2E72F7E1" w14:textId="77777777" w:rsidR="009B2D2C" w:rsidRDefault="009B2D2C" w:rsidP="00DB7774">
            <w:pPr>
              <w:spacing w:before="120"/>
              <w:rPr>
                <w:noProof/>
                <w:lang w:eastAsia="en-AU"/>
              </w:rPr>
            </w:pPr>
          </w:p>
        </w:tc>
        <w:tc>
          <w:tcPr>
            <w:tcW w:w="1751" w:type="dxa"/>
            <w:tcBorders>
              <w:top w:val="single" w:sz="8" w:space="0" w:color="D9D9D9" w:themeColor="background1" w:themeShade="D9"/>
              <w:bottom w:val="single" w:sz="8" w:space="0" w:color="D9D9D9" w:themeColor="background1" w:themeShade="D9"/>
            </w:tcBorders>
          </w:tcPr>
          <w:p w14:paraId="3E68B2E0" w14:textId="77777777" w:rsidR="009B2D2C" w:rsidRDefault="009B2D2C" w:rsidP="00DB7774">
            <w:pPr>
              <w:spacing w:before="120"/>
              <w:cnfStyle w:val="000000100000" w:firstRow="0" w:lastRow="0" w:firstColumn="0" w:lastColumn="0" w:oddVBand="0" w:evenVBand="0" w:oddHBand="1" w:evenHBand="0" w:firstRowFirstColumn="0" w:firstRowLastColumn="0" w:lastRowFirstColumn="0" w:lastRowLastColumn="0"/>
              <w:rPr>
                <w:rFonts w:cs="Arial"/>
                <w:b/>
                <w:bCs/>
                <w:color w:val="000000"/>
                <w:sz w:val="20"/>
                <w:szCs w:val="20"/>
              </w:rPr>
            </w:pPr>
            <w:r w:rsidRPr="009B2D2C">
              <w:rPr>
                <w:rFonts w:ascii="Arial" w:hAnsi="Arial" w:cs="Arial"/>
                <w:b/>
                <w:bCs/>
                <w:color w:val="000000"/>
                <w:sz w:val="20"/>
                <w:szCs w:val="20"/>
              </w:rPr>
              <w:t>Think and Solve Problems</w:t>
            </w:r>
            <w:r w:rsidRPr="009B2D2C">
              <w:rPr>
                <w:rFonts w:cs="Arial"/>
                <w:b/>
                <w:bCs/>
                <w:color w:val="000000"/>
                <w:sz w:val="20"/>
                <w:szCs w:val="20"/>
              </w:rPr>
              <w:t xml:space="preserve">                            </w:t>
            </w:r>
          </w:p>
          <w:p w14:paraId="0B9C33B4" w14:textId="33F44E32" w:rsidR="009B2D2C" w:rsidRPr="009B2D2C" w:rsidRDefault="009B2D2C" w:rsidP="00DB7774">
            <w:pPr>
              <w:spacing w:before="120"/>
              <w:cnfStyle w:val="000000100000" w:firstRow="0" w:lastRow="0" w:firstColumn="0" w:lastColumn="0" w:oddVBand="0" w:evenVBand="0" w:oddHBand="1" w:evenHBand="0" w:firstRowFirstColumn="0" w:firstRowLastColumn="0" w:lastRowFirstColumn="0" w:lastRowLastColumn="0"/>
              <w:rPr>
                <w:rFonts w:cs="Arial"/>
                <w:b/>
                <w:bCs/>
                <w:color w:val="000000"/>
                <w:sz w:val="20"/>
                <w:szCs w:val="20"/>
              </w:rPr>
            </w:pPr>
            <w:r w:rsidRPr="009B2D2C">
              <w:rPr>
                <w:rFonts w:ascii="Arial" w:hAnsi="Arial" w:cs="Arial"/>
                <w:color w:val="000000"/>
                <w:sz w:val="20"/>
                <w:szCs w:val="20"/>
              </w:rPr>
              <w:t xml:space="preserve">Think, </w:t>
            </w:r>
            <w:proofErr w:type="gramStart"/>
            <w:r w:rsidRPr="009B2D2C">
              <w:rPr>
                <w:rFonts w:ascii="Arial" w:hAnsi="Arial" w:cs="Arial"/>
                <w:color w:val="000000"/>
                <w:sz w:val="20"/>
                <w:szCs w:val="20"/>
              </w:rPr>
              <w:t>analyse</w:t>
            </w:r>
            <w:proofErr w:type="gramEnd"/>
            <w:r w:rsidRPr="009B2D2C">
              <w:rPr>
                <w:rFonts w:ascii="Arial" w:hAnsi="Arial" w:cs="Arial"/>
                <w:color w:val="000000"/>
                <w:sz w:val="20"/>
                <w:szCs w:val="20"/>
              </w:rPr>
              <w:t xml:space="preserve"> and consider the broader context to develop practical solutions</w:t>
            </w:r>
          </w:p>
        </w:tc>
        <w:tc>
          <w:tcPr>
            <w:tcW w:w="6049" w:type="dxa"/>
            <w:tcBorders>
              <w:top w:val="single" w:sz="8" w:space="0" w:color="D9D9D9" w:themeColor="background1" w:themeShade="D9"/>
              <w:bottom w:val="single" w:sz="8" w:space="0" w:color="D9D9D9" w:themeColor="background1" w:themeShade="D9"/>
            </w:tcBorders>
          </w:tcPr>
          <w:p w14:paraId="59A9B5D4" w14:textId="77777777" w:rsidR="009B2D2C" w:rsidRP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9B2D2C">
              <w:rPr>
                <w:rFonts w:ascii="Arial" w:hAnsi="Arial" w:cs="Arial"/>
                <w:sz w:val="20"/>
                <w:szCs w:val="20"/>
              </w:rPr>
              <w:t>Research and apply critical-thinking techniques in analysing information, identify interrelationships and make recommendations based on relevant evidence</w:t>
            </w:r>
            <w:r w:rsidRPr="009B2D2C">
              <w:rPr>
                <w:rFonts w:ascii="Arial" w:hAnsi="Arial" w:cs="Arial"/>
                <w:sz w:val="20"/>
                <w:szCs w:val="20"/>
              </w:rPr>
              <w:tab/>
            </w:r>
          </w:p>
          <w:p w14:paraId="59773B09" w14:textId="77777777" w:rsidR="009B2D2C" w:rsidRP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9B2D2C">
              <w:rPr>
                <w:rFonts w:ascii="Arial" w:hAnsi="Arial" w:cs="Arial"/>
                <w:sz w:val="20"/>
                <w:szCs w:val="20"/>
              </w:rPr>
              <w:t xml:space="preserve">Anticipate, </w:t>
            </w:r>
            <w:proofErr w:type="gramStart"/>
            <w:r w:rsidRPr="009B2D2C">
              <w:rPr>
                <w:rFonts w:ascii="Arial" w:hAnsi="Arial" w:cs="Arial"/>
                <w:sz w:val="20"/>
                <w:szCs w:val="20"/>
              </w:rPr>
              <w:t>identify</w:t>
            </w:r>
            <w:proofErr w:type="gramEnd"/>
            <w:r w:rsidRPr="009B2D2C">
              <w:rPr>
                <w:rFonts w:ascii="Arial" w:hAnsi="Arial" w:cs="Arial"/>
                <w:sz w:val="20"/>
                <w:szCs w:val="20"/>
              </w:rPr>
              <w:t xml:space="preserve"> and address issues and potential problems that may have an impact on organisational objectives and the user experience</w:t>
            </w:r>
            <w:r w:rsidRPr="009B2D2C">
              <w:rPr>
                <w:rFonts w:ascii="Arial" w:hAnsi="Arial" w:cs="Arial"/>
                <w:sz w:val="20"/>
                <w:szCs w:val="20"/>
              </w:rPr>
              <w:tab/>
            </w:r>
          </w:p>
          <w:p w14:paraId="013BD182" w14:textId="77777777" w:rsidR="009B2D2C" w:rsidRP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9B2D2C">
              <w:rPr>
                <w:rFonts w:ascii="Arial" w:hAnsi="Arial" w:cs="Arial"/>
                <w:sz w:val="20"/>
                <w:szCs w:val="20"/>
              </w:rPr>
              <w:t>Apply creative-thinking techniques to generate new ideas and options to address issues and improve the user experience</w:t>
            </w:r>
            <w:r w:rsidRPr="009B2D2C">
              <w:rPr>
                <w:rFonts w:ascii="Arial" w:hAnsi="Arial" w:cs="Arial"/>
                <w:sz w:val="20"/>
                <w:szCs w:val="20"/>
              </w:rPr>
              <w:tab/>
            </w:r>
          </w:p>
          <w:p w14:paraId="5598D69A" w14:textId="636DAABC" w:rsidR="009B2D2C" w:rsidRP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9B2D2C">
              <w:rPr>
                <w:rFonts w:ascii="Arial" w:hAnsi="Arial" w:cs="Arial"/>
                <w:sz w:val="20"/>
                <w:szCs w:val="20"/>
              </w:rPr>
              <w:t>Seek contributions and ideas from people with diverse backgrounds and experience</w:t>
            </w:r>
            <w:r w:rsidRPr="009B2D2C">
              <w:rPr>
                <w:rFonts w:ascii="Arial" w:hAnsi="Arial" w:cs="Arial"/>
                <w:sz w:val="20"/>
                <w:szCs w:val="20"/>
              </w:rPr>
              <w:tab/>
            </w:r>
          </w:p>
          <w:p w14:paraId="7F786BC8" w14:textId="77777777" w:rsidR="00695BF4" w:rsidRPr="00695BF4"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9B2D2C">
              <w:rPr>
                <w:rFonts w:ascii="Arial" w:hAnsi="Arial" w:cs="Arial"/>
                <w:sz w:val="20"/>
                <w:szCs w:val="20"/>
              </w:rPr>
              <w:t>Participate in and contribute to team or unit initiatives to resolve common issues or barriers to effectiveness</w:t>
            </w:r>
            <w:r w:rsidRPr="009B2D2C">
              <w:rPr>
                <w:rFonts w:ascii="Arial" w:hAnsi="Arial" w:cs="Arial"/>
                <w:sz w:val="20"/>
                <w:szCs w:val="20"/>
              </w:rPr>
              <w:tab/>
            </w:r>
          </w:p>
          <w:p w14:paraId="02784661" w14:textId="081096DE" w:rsidR="009B2D2C" w:rsidRPr="009B2D2C" w:rsidRDefault="009B2D2C" w:rsidP="009B2D2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9B2D2C">
              <w:rPr>
                <w:rFonts w:ascii="Arial" w:hAnsi="Arial" w:cs="Arial"/>
                <w:sz w:val="20"/>
                <w:szCs w:val="20"/>
              </w:rPr>
              <w:t>Identify and share business process improvements to enhance effectiveness</w:t>
            </w:r>
            <w:r w:rsidRPr="009B2D2C">
              <w:rPr>
                <w:rFonts w:cs="Arial"/>
                <w:sz w:val="20"/>
                <w:szCs w:val="20"/>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5B309D60" w14:textId="563DA905" w:rsidR="009B2D2C" w:rsidRDefault="009B2D2C" w:rsidP="009B2D2C">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B2D2C">
              <w:rPr>
                <w:rFonts w:ascii="Arial" w:hAnsi="Arial" w:cs="Arial"/>
                <w:sz w:val="20"/>
                <w:szCs w:val="20"/>
              </w:rPr>
              <w:t>Adept</w:t>
            </w:r>
          </w:p>
        </w:tc>
      </w:tr>
      <w:tr w:rsidR="009B2D2C" w14:paraId="52B344FA" w14:textId="77777777" w:rsidTr="009B2D2C">
        <w:trPr>
          <w:trHeight w:val="1991"/>
        </w:trPr>
        <w:tc>
          <w:tcPr>
            <w:cnfStyle w:val="001000000000" w:firstRow="0" w:lastRow="0" w:firstColumn="1" w:lastColumn="0" w:oddVBand="0" w:evenVBand="0" w:oddHBand="0" w:evenHBand="0" w:firstRowFirstColumn="0" w:firstRowLastColumn="0" w:lastRowFirstColumn="0" w:lastRowLastColumn="0"/>
            <w:tcW w:w="1759" w:type="dxa"/>
            <w:tcBorders>
              <w:left w:val="single" w:sz="8" w:space="0" w:color="FFFFFF" w:themeColor="background1"/>
              <w:bottom w:val="single" w:sz="8" w:space="0" w:color="BCBEC0"/>
            </w:tcBorders>
          </w:tcPr>
          <w:p w14:paraId="03C24FE1" w14:textId="03210AA6" w:rsidR="009B2D2C" w:rsidRDefault="009B2D2C" w:rsidP="00DB7774">
            <w:pPr>
              <w:spacing w:before="120"/>
              <w:rPr>
                <w:noProof/>
                <w:lang w:eastAsia="en-AU"/>
              </w:rPr>
            </w:pPr>
            <w:r>
              <w:rPr>
                <w:noProof/>
                <w:lang w:eastAsia="en-AU"/>
              </w:rPr>
              <w:drawing>
                <wp:inline distT="0" distB="0" distL="0" distR="0" wp14:anchorId="25A22992" wp14:editId="59218069">
                  <wp:extent cx="845185" cy="845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BCBEC0"/>
            </w:tcBorders>
          </w:tcPr>
          <w:p w14:paraId="1B72065C" w14:textId="77777777" w:rsidR="009B2D2C" w:rsidRDefault="009B2D2C" w:rsidP="00DB7774">
            <w:pPr>
              <w:spacing w:before="120"/>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9B2D2C">
              <w:rPr>
                <w:rFonts w:ascii="Arial" w:hAnsi="Arial" w:cs="Arial"/>
                <w:b/>
                <w:bCs/>
                <w:color w:val="000000"/>
                <w:sz w:val="20"/>
                <w:szCs w:val="20"/>
              </w:rPr>
              <w:t>Technology</w:t>
            </w:r>
            <w:r w:rsidRPr="009B2D2C">
              <w:rPr>
                <w:rFonts w:ascii="Arial" w:hAnsi="Arial" w:cs="Arial"/>
                <w:b/>
                <w:bCs/>
                <w:color w:val="000000"/>
                <w:sz w:val="20"/>
                <w:szCs w:val="20"/>
              </w:rPr>
              <w:tab/>
            </w:r>
          </w:p>
          <w:p w14:paraId="507F1632" w14:textId="161414E3" w:rsidR="009B2D2C" w:rsidRPr="009B2D2C" w:rsidRDefault="009B2D2C" w:rsidP="00DB7774">
            <w:pPr>
              <w:spacing w:before="120"/>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9B2D2C">
              <w:rPr>
                <w:rFonts w:ascii="Arial" w:hAnsi="Arial" w:cs="Arial"/>
                <w:color w:val="000000"/>
                <w:sz w:val="20"/>
                <w:szCs w:val="20"/>
              </w:rPr>
              <w:t>Understand and use available technologies to maximise efficiencies and effectiveness</w:t>
            </w:r>
          </w:p>
        </w:tc>
        <w:tc>
          <w:tcPr>
            <w:tcW w:w="6049" w:type="dxa"/>
            <w:tcBorders>
              <w:top w:val="single" w:sz="8" w:space="0" w:color="D9D9D9" w:themeColor="background1" w:themeShade="D9"/>
              <w:bottom w:val="single" w:sz="8" w:space="0" w:color="BCBEC0"/>
            </w:tcBorders>
          </w:tcPr>
          <w:p w14:paraId="6622E857" w14:textId="77777777"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9B2D2C">
              <w:rPr>
                <w:rFonts w:ascii="Arial" w:hAnsi="Arial" w:cs="Arial"/>
                <w:sz w:val="20"/>
                <w:szCs w:val="20"/>
              </w:rPr>
              <w:t>Champion the use of innovative technologies in the workplace</w:t>
            </w:r>
            <w:r w:rsidRPr="009B2D2C">
              <w:rPr>
                <w:rFonts w:ascii="Arial" w:hAnsi="Arial" w:cs="Arial"/>
                <w:sz w:val="20"/>
                <w:szCs w:val="20"/>
              </w:rPr>
              <w:tab/>
            </w:r>
          </w:p>
          <w:p w14:paraId="5BA5120A" w14:textId="77777777"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9B2D2C">
              <w:rPr>
                <w:rFonts w:ascii="Arial" w:hAnsi="Arial" w:cs="Arial"/>
                <w:sz w:val="20"/>
                <w:szCs w:val="20"/>
              </w:rPr>
              <w:t>Actively manage risk to ensure compliance with cyber security and acceptable use of technology policies</w:t>
            </w:r>
            <w:r w:rsidRPr="009B2D2C">
              <w:rPr>
                <w:rFonts w:ascii="Arial" w:hAnsi="Arial" w:cs="Arial"/>
                <w:sz w:val="20"/>
                <w:szCs w:val="20"/>
              </w:rPr>
              <w:tab/>
            </w:r>
          </w:p>
          <w:p w14:paraId="5361B441" w14:textId="77777777"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9B2D2C">
              <w:rPr>
                <w:rFonts w:ascii="Arial" w:hAnsi="Arial" w:cs="Arial"/>
                <w:sz w:val="20"/>
                <w:szCs w:val="20"/>
              </w:rPr>
              <w:t>Keep up to date with emerging technologies and technology trends to understand how their application can support business outcomes</w:t>
            </w:r>
            <w:r w:rsidRPr="009B2D2C">
              <w:rPr>
                <w:rFonts w:ascii="Arial" w:hAnsi="Arial" w:cs="Arial"/>
                <w:sz w:val="20"/>
                <w:szCs w:val="20"/>
              </w:rPr>
              <w:tab/>
            </w:r>
          </w:p>
          <w:p w14:paraId="34AA680B" w14:textId="77777777"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9B2D2C">
              <w:rPr>
                <w:rFonts w:ascii="Arial" w:hAnsi="Arial" w:cs="Arial"/>
                <w:sz w:val="20"/>
                <w:szCs w:val="20"/>
              </w:rPr>
              <w:t>Seek advice from appropriate subject-matter experts on using technologies to achieve business strategies and outcomes</w:t>
            </w:r>
            <w:r w:rsidRPr="009B2D2C">
              <w:rPr>
                <w:rFonts w:ascii="Arial" w:hAnsi="Arial" w:cs="Arial"/>
                <w:sz w:val="20"/>
                <w:szCs w:val="20"/>
              </w:rPr>
              <w:tab/>
            </w:r>
          </w:p>
          <w:p w14:paraId="3683637E" w14:textId="664D0AF6" w:rsidR="009B2D2C" w:rsidRPr="009B2D2C" w:rsidRDefault="009B2D2C" w:rsidP="009B2D2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9B2D2C">
              <w:rPr>
                <w:rFonts w:ascii="Arial" w:hAnsi="Arial" w:cs="Arial"/>
                <w:sz w:val="20"/>
                <w:szCs w:val="20"/>
              </w:rPr>
              <w:t xml:space="preserve">Actively manage risk of breaches to appropriate records, information and knowledge management systems, </w:t>
            </w:r>
            <w:proofErr w:type="gramStart"/>
            <w:r w:rsidRPr="009B2D2C">
              <w:rPr>
                <w:rFonts w:ascii="Arial" w:hAnsi="Arial" w:cs="Arial"/>
                <w:sz w:val="20"/>
                <w:szCs w:val="20"/>
              </w:rPr>
              <w:t>protocols</w:t>
            </w:r>
            <w:proofErr w:type="gramEnd"/>
            <w:r w:rsidRPr="009B2D2C">
              <w:rPr>
                <w:rFonts w:ascii="Arial" w:hAnsi="Arial" w:cs="Arial"/>
                <w:sz w:val="20"/>
                <w:szCs w:val="20"/>
              </w:rPr>
              <w:t xml:space="preserve"> and policies</w:t>
            </w:r>
            <w:r w:rsidRPr="009B2D2C">
              <w:rPr>
                <w:rFonts w:ascii="Arial" w:hAnsi="Arial" w:cs="Arial"/>
                <w:sz w:val="20"/>
                <w:szCs w:val="20"/>
              </w:rPr>
              <w:tab/>
            </w:r>
          </w:p>
        </w:tc>
        <w:tc>
          <w:tcPr>
            <w:tcW w:w="1315" w:type="dxa"/>
            <w:tcBorders>
              <w:top w:val="single" w:sz="8" w:space="0" w:color="D9D9D9" w:themeColor="background1" w:themeShade="D9"/>
              <w:bottom w:val="single" w:sz="8" w:space="0" w:color="BCBEC0"/>
              <w:right w:val="single" w:sz="8" w:space="0" w:color="FFFFFF" w:themeColor="background1"/>
            </w:tcBorders>
          </w:tcPr>
          <w:p w14:paraId="698C9EC1" w14:textId="17F0F588" w:rsidR="009B2D2C" w:rsidRPr="009B2D2C" w:rsidRDefault="009B2D2C" w:rsidP="009B2D2C">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sz w:val="20"/>
                <w:szCs w:val="20"/>
              </w:rPr>
              <w:t>Advanced</w:t>
            </w:r>
          </w:p>
        </w:tc>
      </w:tr>
    </w:tbl>
    <w:p w14:paraId="708C073F" w14:textId="08663E53"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1"/>
        <w:gridCol w:w="5990"/>
        <w:gridCol w:w="1307"/>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lastRenderedPageBreak/>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9C063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90"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9C063D">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08554FD0" w14:textId="77777777" w:rsidR="009B2D2C" w:rsidRPr="009B2D2C" w:rsidRDefault="009B2D2C" w:rsidP="009B2D2C">
            <w:pPr>
              <w:spacing w:before="120" w:line="276" w:lineRule="auto"/>
              <w:rPr>
                <w:rFonts w:ascii="Arial" w:hAnsi="Arial" w:cs="Arial"/>
                <w:noProof/>
                <w:sz w:val="20"/>
                <w:szCs w:val="20"/>
              </w:rPr>
            </w:pPr>
            <w:r w:rsidRPr="009B2D2C">
              <w:rPr>
                <w:rFonts w:ascii="Arial" w:hAnsi="Arial" w:cs="Arial"/>
                <w:noProof/>
                <w:sz w:val="20"/>
                <w:szCs w:val="20"/>
              </w:rPr>
              <w:t>User research</w:t>
            </w:r>
          </w:p>
          <w:p w14:paraId="7919DCD4" w14:textId="02AC0554" w:rsidR="00847160" w:rsidRPr="00DB7774" w:rsidRDefault="00847160"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18" w:space="0" w:color="auto"/>
              <w:bottom w:val="single" w:sz="8" w:space="0" w:color="D9D9D9" w:themeColor="background1" w:themeShade="D9"/>
            </w:tcBorders>
          </w:tcPr>
          <w:p w14:paraId="6FE9058E" w14:textId="77777777" w:rsidR="009B2D2C" w:rsidRDefault="009B2D2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Development and implementation</w:t>
            </w:r>
            <w:r w:rsidRPr="009B2D2C">
              <w:rPr>
                <w:rFonts w:ascii="Arial" w:hAnsi="Arial" w:cs="Arial"/>
                <w:sz w:val="20"/>
                <w:szCs w:val="20"/>
              </w:rPr>
              <w:tab/>
            </w:r>
          </w:p>
          <w:p w14:paraId="70399EDC" w14:textId="40F7724F" w:rsidR="00847160" w:rsidRPr="00DB7774" w:rsidRDefault="009B2D2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User experience</w:t>
            </w:r>
          </w:p>
        </w:tc>
        <w:tc>
          <w:tcPr>
            <w:tcW w:w="5990" w:type="dxa"/>
            <w:tcBorders>
              <w:top w:val="single" w:sz="18" w:space="0" w:color="auto"/>
              <w:bottom w:val="single" w:sz="8" w:space="0" w:color="D9D9D9" w:themeColor="background1" w:themeShade="D9"/>
            </w:tcBorders>
          </w:tcPr>
          <w:p w14:paraId="18A1839D" w14:textId="77777777" w:rsidR="009B2D2C" w:rsidRDefault="009B2D2C"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 xml:space="preserve">Determines the approaches to be used for encouraging user engagement in generative research </w:t>
            </w:r>
            <w:proofErr w:type="gramStart"/>
            <w:r w:rsidRPr="009B2D2C">
              <w:rPr>
                <w:rFonts w:ascii="Arial" w:hAnsi="Arial" w:cs="Arial"/>
                <w:sz w:val="20"/>
                <w:szCs w:val="20"/>
              </w:rPr>
              <w:t>in order to</w:t>
            </w:r>
            <w:proofErr w:type="gramEnd"/>
            <w:r w:rsidRPr="009B2D2C">
              <w:rPr>
                <w:rFonts w:ascii="Arial" w:hAnsi="Arial" w:cs="Arial"/>
                <w:sz w:val="20"/>
                <w:szCs w:val="20"/>
              </w:rPr>
              <w:t xml:space="preserve"> find opportunities for innovation in, and enhancement of, systems, products and services. </w:t>
            </w:r>
          </w:p>
          <w:p w14:paraId="2D8E30AC" w14:textId="77777777" w:rsidR="009B2D2C" w:rsidRDefault="009B2D2C"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 xml:space="preserve">Leads the collection and analysis of data related to people’s behaviours, needs, and opinions. </w:t>
            </w:r>
          </w:p>
          <w:p w14:paraId="3ED5F5C7" w14:textId="77777777" w:rsidR="009B2D2C" w:rsidRDefault="009B2D2C"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 xml:space="preserve">Synthesises findings, develops insights and presents findings to inform decision making and drive actions. </w:t>
            </w:r>
          </w:p>
          <w:p w14:paraId="651E4CDA" w14:textId="77777777" w:rsidR="009B2D2C" w:rsidRDefault="009B2D2C"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 xml:space="preserve">Plans and drives the user research activities providing expert advice and guidance to support adoption of agreed approaches. </w:t>
            </w:r>
          </w:p>
          <w:p w14:paraId="6D9042D9" w14:textId="567726E1" w:rsidR="00847160" w:rsidRPr="00DB7774" w:rsidRDefault="009B2D2C"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Contributes to the development of organisational methods and standards for user research.</w:t>
            </w:r>
          </w:p>
        </w:tc>
        <w:tc>
          <w:tcPr>
            <w:tcW w:w="1307" w:type="dxa"/>
            <w:tcBorders>
              <w:top w:val="single" w:sz="18" w:space="0" w:color="auto"/>
              <w:bottom w:val="single" w:sz="8" w:space="0" w:color="D9D9D9" w:themeColor="background1" w:themeShade="D9"/>
              <w:right w:val="single" w:sz="8" w:space="0" w:color="FFFFFF" w:themeColor="background1"/>
            </w:tcBorders>
          </w:tcPr>
          <w:p w14:paraId="4D7E5B77" w14:textId="77777777" w:rsidR="00847160" w:rsidRDefault="009B2D2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p w14:paraId="52617272" w14:textId="5D74CCDE" w:rsidR="009B2D2C" w:rsidRPr="00DB7774" w:rsidRDefault="009B2D2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URCH</w:t>
            </w:r>
          </w:p>
        </w:tc>
      </w:tr>
      <w:tr w:rsidR="00847160" w:rsidRPr="00DB7774" w14:paraId="239DA07C" w14:textId="77777777" w:rsidTr="009C063D">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5879F253" w14:textId="77777777" w:rsidR="00847160" w:rsidRDefault="009B2D2C" w:rsidP="00DB7774">
            <w:pPr>
              <w:spacing w:before="120" w:line="276" w:lineRule="auto"/>
              <w:rPr>
                <w:rFonts w:ascii="Arial" w:hAnsi="Arial" w:cs="Arial"/>
                <w:b w:val="0"/>
                <w:bCs w:val="0"/>
                <w:sz w:val="20"/>
                <w:szCs w:val="20"/>
              </w:rPr>
            </w:pPr>
            <w:r w:rsidRPr="009B2D2C">
              <w:rPr>
                <w:rFonts w:ascii="Arial" w:hAnsi="Arial" w:cs="Arial"/>
                <w:sz w:val="20"/>
                <w:szCs w:val="20"/>
              </w:rPr>
              <w:t>User experience analysis</w:t>
            </w:r>
          </w:p>
          <w:p w14:paraId="15AF522F" w14:textId="59523F14" w:rsidR="009B2D2C" w:rsidRPr="00DB7774" w:rsidRDefault="009B2D2C"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434AD5CE" wp14:editId="28F91D20">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5A6663E6" w14:textId="77777777" w:rsidR="009B2D2C" w:rsidRDefault="009B2D2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sz w:val="20"/>
                <w:szCs w:val="20"/>
              </w:rPr>
              <w:t>Development and implementation</w:t>
            </w:r>
            <w:r w:rsidRPr="009B2D2C">
              <w:rPr>
                <w:rFonts w:ascii="Arial" w:hAnsi="Arial" w:cs="Arial"/>
                <w:sz w:val="20"/>
                <w:szCs w:val="20"/>
              </w:rPr>
              <w:tab/>
            </w:r>
          </w:p>
          <w:p w14:paraId="01F086C1" w14:textId="0FCA2E7E" w:rsidR="00847160" w:rsidRPr="00DB7774" w:rsidRDefault="009B2D2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2D2C">
              <w:rPr>
                <w:rFonts w:ascii="Arial" w:hAnsi="Arial" w:cs="Arial"/>
                <w:sz w:val="20"/>
                <w:szCs w:val="20"/>
              </w:rPr>
              <w:t>User experience</w:t>
            </w:r>
          </w:p>
        </w:tc>
        <w:tc>
          <w:tcPr>
            <w:tcW w:w="5990" w:type="dxa"/>
            <w:tcBorders>
              <w:top w:val="single" w:sz="8" w:space="0" w:color="D9D9D9" w:themeColor="background1" w:themeShade="D9"/>
              <w:bottom w:val="single" w:sz="8" w:space="0" w:color="D9D9D9" w:themeColor="background1" w:themeShade="D9"/>
            </w:tcBorders>
          </w:tcPr>
          <w:p w14:paraId="749120FE" w14:textId="39B52F9D" w:rsidR="00C96C3A" w:rsidRPr="00C96C3A" w:rsidRDefault="00C96C3A" w:rsidP="00C96C3A">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Identifies and describes the user objectives for systems, </w:t>
            </w:r>
            <w:proofErr w:type="gramStart"/>
            <w:r w:rsidRPr="00C96C3A">
              <w:rPr>
                <w:rFonts w:ascii="Arial" w:hAnsi="Arial" w:cs="Arial"/>
                <w:sz w:val="20"/>
                <w:szCs w:val="20"/>
              </w:rPr>
              <w:t>products</w:t>
            </w:r>
            <w:proofErr w:type="gramEnd"/>
            <w:r w:rsidRPr="00C96C3A">
              <w:rPr>
                <w:rFonts w:ascii="Arial" w:hAnsi="Arial" w:cs="Arial"/>
                <w:sz w:val="20"/>
                <w:szCs w:val="20"/>
              </w:rPr>
              <w:t xml:space="preserve"> and services.</w:t>
            </w:r>
          </w:p>
          <w:p w14:paraId="00EAD1F1" w14:textId="77777777" w:rsidR="00C96C3A" w:rsidRDefault="00C96C3A" w:rsidP="00C96C3A">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Identifies the roles of affected stakeholder groups. </w:t>
            </w:r>
          </w:p>
          <w:p w14:paraId="3BDA427B" w14:textId="77777777" w:rsidR="00C96C3A" w:rsidRDefault="00C96C3A" w:rsidP="00C96C3A">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Defines the required behaviour and performance of the system, </w:t>
            </w:r>
            <w:proofErr w:type="gramStart"/>
            <w:r w:rsidRPr="00C96C3A">
              <w:rPr>
                <w:rFonts w:ascii="Arial" w:hAnsi="Arial" w:cs="Arial"/>
                <w:sz w:val="20"/>
                <w:szCs w:val="20"/>
              </w:rPr>
              <w:t>product</w:t>
            </w:r>
            <w:proofErr w:type="gramEnd"/>
            <w:r w:rsidRPr="00C96C3A">
              <w:rPr>
                <w:rFonts w:ascii="Arial" w:hAnsi="Arial" w:cs="Arial"/>
                <w:sz w:val="20"/>
                <w:szCs w:val="20"/>
              </w:rPr>
              <w:t xml:space="preserve"> or service in terms of the total user experience, resolving potential conflicts between differing user requirements. </w:t>
            </w:r>
          </w:p>
          <w:p w14:paraId="036E5E01" w14:textId="3F352C6B" w:rsidR="00847160" w:rsidRPr="00DB7774" w:rsidRDefault="00C96C3A" w:rsidP="00C96C3A">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Specifies measurable criteria for the required usability and accessibility of the system, </w:t>
            </w:r>
            <w:proofErr w:type="gramStart"/>
            <w:r w:rsidRPr="00C96C3A">
              <w:rPr>
                <w:rFonts w:ascii="Arial" w:hAnsi="Arial" w:cs="Arial"/>
                <w:sz w:val="20"/>
                <w:szCs w:val="20"/>
              </w:rPr>
              <w:t>products</w:t>
            </w:r>
            <w:proofErr w:type="gramEnd"/>
            <w:r w:rsidRPr="00C96C3A">
              <w:rPr>
                <w:rFonts w:ascii="Arial" w:hAnsi="Arial" w:cs="Arial"/>
                <w:sz w:val="20"/>
                <w:szCs w:val="20"/>
              </w:rPr>
              <w:t xml:space="preserve"> and services.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1D5B4C4" w14:textId="77777777" w:rsidR="00847160" w:rsidRDefault="009B2D2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4</w:t>
            </w:r>
          </w:p>
          <w:p w14:paraId="3C18EF35" w14:textId="25434837" w:rsidR="009B2D2C" w:rsidRPr="00DB7774" w:rsidRDefault="009B2D2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UNAN</w:t>
            </w:r>
          </w:p>
        </w:tc>
      </w:tr>
      <w:tr w:rsidR="00847160" w:rsidRPr="00DB7774" w14:paraId="52369EFE" w14:textId="77777777" w:rsidTr="009C063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638E9CC9" w14:textId="77777777" w:rsidR="00847160" w:rsidRDefault="00C96C3A" w:rsidP="00DB7774">
            <w:pPr>
              <w:spacing w:before="120" w:line="276" w:lineRule="auto"/>
              <w:rPr>
                <w:rFonts w:ascii="Arial" w:hAnsi="Arial" w:cs="Arial"/>
                <w:b w:val="0"/>
                <w:bCs w:val="0"/>
                <w:sz w:val="20"/>
                <w:szCs w:val="20"/>
              </w:rPr>
            </w:pPr>
            <w:r w:rsidRPr="00C96C3A">
              <w:rPr>
                <w:rFonts w:ascii="Arial" w:hAnsi="Arial" w:cs="Arial"/>
                <w:sz w:val="20"/>
                <w:szCs w:val="20"/>
              </w:rPr>
              <w:t>User experience evaluation</w:t>
            </w:r>
          </w:p>
          <w:p w14:paraId="7122703D" w14:textId="7121B4BE" w:rsidR="00C96C3A" w:rsidRPr="00DB7774" w:rsidRDefault="00C96C3A"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351FC22D" wp14:editId="1E691A95">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0EE0E063" w14:textId="77777777" w:rsidR="00C96C3A"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Development and implementation</w:t>
            </w:r>
            <w:r w:rsidRPr="009B2D2C">
              <w:rPr>
                <w:rFonts w:ascii="Arial" w:hAnsi="Arial" w:cs="Arial"/>
                <w:sz w:val="20"/>
                <w:szCs w:val="20"/>
              </w:rPr>
              <w:tab/>
            </w:r>
          </w:p>
          <w:p w14:paraId="5138C108" w14:textId="640CE278" w:rsidR="00847160" w:rsidRPr="00DB7774"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B2D2C">
              <w:rPr>
                <w:rFonts w:ascii="Arial" w:hAnsi="Arial" w:cs="Arial"/>
                <w:sz w:val="20"/>
                <w:szCs w:val="20"/>
              </w:rPr>
              <w:t>User experience</w:t>
            </w:r>
          </w:p>
        </w:tc>
        <w:tc>
          <w:tcPr>
            <w:tcW w:w="5990" w:type="dxa"/>
            <w:tcBorders>
              <w:top w:val="single" w:sz="8" w:space="0" w:color="D9D9D9" w:themeColor="background1" w:themeShade="D9"/>
              <w:bottom w:val="single" w:sz="8" w:space="0" w:color="D9D9D9" w:themeColor="background1" w:themeShade="D9"/>
            </w:tcBorders>
          </w:tcPr>
          <w:p w14:paraId="0A1B0D95" w14:textId="77777777" w:rsidR="00C96C3A" w:rsidRDefault="00C96C3A" w:rsidP="00C96C3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Plans and performs all types of user experience evaluation to check and confirm that usability and accessibility requirements have been met. </w:t>
            </w:r>
          </w:p>
          <w:p w14:paraId="465E993A" w14:textId="77777777" w:rsidR="00C96C3A" w:rsidRDefault="00C96C3A" w:rsidP="00C96C3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Selects appropriate use of formative or summative evaluations. </w:t>
            </w:r>
          </w:p>
          <w:p w14:paraId="65188407" w14:textId="77777777" w:rsidR="00C96C3A" w:rsidRDefault="00C96C3A" w:rsidP="00C96C3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Facilitates both moderated and unmoderated usability tests. </w:t>
            </w:r>
          </w:p>
          <w:p w14:paraId="76D9FDEE" w14:textId="49CBCD25" w:rsidR="00C96C3A" w:rsidRDefault="00C96C3A" w:rsidP="00C96C3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Evaluates prototypes or designs of systems, products or services against the agreed usability and accessibility specifications. </w:t>
            </w:r>
          </w:p>
          <w:p w14:paraId="3A87A0EB" w14:textId="77777777" w:rsidR="00C96C3A" w:rsidRDefault="00C96C3A" w:rsidP="00C96C3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Interprets and presents results of evaluations and prioritises issues. </w:t>
            </w:r>
          </w:p>
          <w:p w14:paraId="1126F364" w14:textId="77777777" w:rsidR="00C96C3A" w:rsidRDefault="00C96C3A" w:rsidP="00C96C3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6C3A">
              <w:rPr>
                <w:rFonts w:ascii="Arial" w:hAnsi="Arial" w:cs="Arial"/>
                <w:sz w:val="20"/>
                <w:szCs w:val="20"/>
              </w:rPr>
              <w:t xml:space="preserve">Checks systems, products, or services which are in-use for changes in usability and accessibility needs and to ensure that these needs continue to be met. </w:t>
            </w:r>
          </w:p>
          <w:p w14:paraId="095226E7" w14:textId="0035205B" w:rsidR="00847160" w:rsidRPr="00DB7774" w:rsidRDefault="00C96C3A" w:rsidP="00C96C3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6C3A">
              <w:rPr>
                <w:rFonts w:ascii="Arial" w:hAnsi="Arial" w:cs="Arial"/>
                <w:sz w:val="20"/>
                <w:szCs w:val="20"/>
              </w:rPr>
              <w:t>Assesses the stability of requirements against changes in context of use.</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050AC92" w14:textId="77777777" w:rsidR="00847160" w:rsidRDefault="009B2D2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4</w:t>
            </w:r>
          </w:p>
          <w:p w14:paraId="2FAB1AF9" w14:textId="21B067F1" w:rsidR="009B2D2C" w:rsidRPr="00DB7774" w:rsidRDefault="009B2D2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USEV</w:t>
            </w:r>
          </w:p>
        </w:tc>
      </w:tr>
    </w:tbl>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39"/>
        <w:gridCol w:w="1882"/>
        <w:gridCol w:w="5760"/>
        <w:gridCol w:w="138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D43CD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39"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82"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60"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8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C96C3A" w14:paraId="3DBA0899" w14:textId="77777777" w:rsidTr="00D43CDD">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39" w:type="dxa"/>
            <w:vMerge w:val="restart"/>
            <w:tcBorders>
              <w:top w:val="single" w:sz="18" w:space="0" w:color="auto"/>
              <w:left w:val="single" w:sz="8" w:space="0" w:color="FFFFFF" w:themeColor="background1"/>
            </w:tcBorders>
          </w:tcPr>
          <w:p w14:paraId="0483D049" w14:textId="753646AF" w:rsidR="00C96C3A" w:rsidRPr="00DB7774" w:rsidRDefault="00C96C3A" w:rsidP="00C96C3A">
            <w:pPr>
              <w:spacing w:before="120" w:line="276" w:lineRule="auto"/>
              <w:rPr>
                <w:rFonts w:ascii="Arial" w:hAnsi="Arial" w:cs="Arial"/>
                <w:sz w:val="20"/>
                <w:szCs w:val="20"/>
              </w:rPr>
            </w:pPr>
            <w:r w:rsidRPr="00A61E06">
              <w:rPr>
                <w:rFonts w:cs="Arial"/>
                <w:noProof/>
                <w:sz w:val="20"/>
                <w:szCs w:val="20"/>
                <w:lang w:eastAsia="en-AU"/>
              </w:rPr>
              <w:drawing>
                <wp:inline distT="0" distB="0" distL="0" distR="0" wp14:anchorId="3E42AA1A" wp14:editId="1E846B1C">
                  <wp:extent cx="758825" cy="758825"/>
                  <wp:effectExtent l="0" t="0" r="3175" b="3175"/>
                  <wp:docPr id="14" name="Picture 1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82" w:type="dxa"/>
            <w:tcBorders>
              <w:top w:val="single" w:sz="18" w:space="0" w:color="auto"/>
              <w:bottom w:val="single" w:sz="8" w:space="0" w:color="D9D9D9" w:themeColor="background1" w:themeShade="D9"/>
            </w:tcBorders>
          </w:tcPr>
          <w:p w14:paraId="4FDA345F" w14:textId="2903767D" w:rsidR="00C96C3A" w:rsidRPr="00DB7774"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Display Resilience and Courage</w:t>
            </w:r>
          </w:p>
        </w:tc>
        <w:tc>
          <w:tcPr>
            <w:tcW w:w="5760" w:type="dxa"/>
            <w:tcBorders>
              <w:top w:val="single" w:sz="18" w:space="0" w:color="auto"/>
              <w:bottom w:val="single" w:sz="8" w:space="0" w:color="D9D9D9" w:themeColor="background1" w:themeShade="D9"/>
            </w:tcBorders>
          </w:tcPr>
          <w:p w14:paraId="0117EEAB" w14:textId="04E555E2" w:rsidR="00C96C3A" w:rsidRPr="00DB7774"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Be open and honest, prepared to express your views, and willing to accept and commit to change</w:t>
            </w:r>
          </w:p>
        </w:tc>
        <w:tc>
          <w:tcPr>
            <w:tcW w:w="1387" w:type="dxa"/>
            <w:tcBorders>
              <w:top w:val="single" w:sz="18" w:space="0" w:color="auto"/>
              <w:bottom w:val="single" w:sz="8" w:space="0" w:color="D9D9D9" w:themeColor="background1" w:themeShade="D9"/>
              <w:right w:val="single" w:sz="8" w:space="0" w:color="FFFFFF" w:themeColor="background1"/>
            </w:tcBorders>
          </w:tcPr>
          <w:p w14:paraId="0E2BB48C" w14:textId="057994B4" w:rsidR="00C96C3A" w:rsidRPr="00DB7774"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C96C3A" w14:paraId="686717D3" w14:textId="77777777" w:rsidTr="00D43CDD">
        <w:trPr>
          <w:trHeight w:val="16"/>
        </w:trPr>
        <w:tc>
          <w:tcPr>
            <w:cnfStyle w:val="001000000000" w:firstRow="0" w:lastRow="0" w:firstColumn="1" w:lastColumn="0" w:oddVBand="0" w:evenVBand="0" w:oddHBand="0" w:evenHBand="0" w:firstRowFirstColumn="0" w:firstRowLastColumn="0" w:lastRowFirstColumn="0" w:lastRowLastColumn="0"/>
            <w:tcW w:w="1739" w:type="dxa"/>
            <w:vMerge/>
            <w:tcBorders>
              <w:left w:val="single" w:sz="8" w:space="0" w:color="FFFFFF" w:themeColor="background1"/>
            </w:tcBorders>
          </w:tcPr>
          <w:p w14:paraId="24E89B3B" w14:textId="77777777" w:rsidR="00C96C3A" w:rsidRPr="00DB7774" w:rsidRDefault="00C96C3A" w:rsidP="00C96C3A">
            <w:pPr>
              <w:spacing w:before="120" w:line="276" w:lineRule="auto"/>
              <w:rPr>
                <w:rFonts w:ascii="Arial" w:hAnsi="Arial" w:cs="Arial"/>
                <w:sz w:val="20"/>
                <w:szCs w:val="20"/>
              </w:rPr>
            </w:pPr>
          </w:p>
        </w:tc>
        <w:tc>
          <w:tcPr>
            <w:tcW w:w="1882" w:type="dxa"/>
            <w:tcBorders>
              <w:top w:val="single" w:sz="8" w:space="0" w:color="D9D9D9" w:themeColor="background1" w:themeShade="D9"/>
              <w:bottom w:val="single" w:sz="8" w:space="0" w:color="D9D9D9" w:themeColor="background1" w:themeShade="D9"/>
            </w:tcBorders>
          </w:tcPr>
          <w:p w14:paraId="0A97E6BA" w14:textId="6D1C629D" w:rsidR="00C96C3A" w:rsidRPr="00C96C3A" w:rsidRDefault="00C96C3A" w:rsidP="00C96C3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61E06">
              <w:rPr>
                <w:rFonts w:ascii="Arial" w:hAnsi="Arial" w:cs="Arial"/>
                <w:color w:val="000000"/>
                <w:sz w:val="20"/>
                <w:szCs w:val="20"/>
              </w:rPr>
              <w:t>Act with Integrity</w:t>
            </w:r>
          </w:p>
        </w:tc>
        <w:tc>
          <w:tcPr>
            <w:tcW w:w="5760" w:type="dxa"/>
            <w:tcBorders>
              <w:top w:val="single" w:sz="8" w:space="0" w:color="D9D9D9" w:themeColor="background1" w:themeShade="D9"/>
              <w:bottom w:val="single" w:sz="8" w:space="0" w:color="D9D9D9" w:themeColor="background1" w:themeShade="D9"/>
            </w:tcBorders>
          </w:tcPr>
          <w:p w14:paraId="007B1B35" w14:textId="750024FB" w:rsidR="00C96C3A" w:rsidRPr="00C96C3A" w:rsidRDefault="00C96C3A" w:rsidP="00C96C3A">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61E06">
              <w:rPr>
                <w:rFonts w:ascii="Arial" w:hAnsi="Arial" w:cs="Arial"/>
                <w:color w:val="000000"/>
                <w:sz w:val="20"/>
                <w:szCs w:val="20"/>
              </w:rPr>
              <w:t>Be ethical and professional, and uphold and promote the public sector values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559C948C" w:rsidR="00C96C3A" w:rsidRPr="00DB7774" w:rsidRDefault="00C96C3A" w:rsidP="00C96C3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Intermediate</w:t>
            </w:r>
          </w:p>
        </w:tc>
      </w:tr>
      <w:tr w:rsidR="00C96C3A" w14:paraId="4E8DDF89" w14:textId="77777777" w:rsidTr="00D43CD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739" w:type="dxa"/>
            <w:vMerge/>
            <w:tcBorders>
              <w:left w:val="single" w:sz="8" w:space="0" w:color="FFFFFF" w:themeColor="background1"/>
              <w:bottom w:val="single" w:sz="8" w:space="0" w:color="D9D9D9" w:themeColor="background1" w:themeShade="D9"/>
            </w:tcBorders>
          </w:tcPr>
          <w:p w14:paraId="7EE3C929" w14:textId="77777777" w:rsidR="00C96C3A" w:rsidRPr="00DB7774" w:rsidRDefault="00C96C3A" w:rsidP="00C96C3A">
            <w:pPr>
              <w:spacing w:before="120"/>
              <w:rPr>
                <w:rFonts w:cs="Arial"/>
                <w:sz w:val="20"/>
                <w:szCs w:val="20"/>
              </w:rPr>
            </w:pPr>
          </w:p>
        </w:tc>
        <w:tc>
          <w:tcPr>
            <w:tcW w:w="1882" w:type="dxa"/>
            <w:tcBorders>
              <w:top w:val="single" w:sz="8" w:space="0" w:color="D9D9D9" w:themeColor="background1" w:themeShade="D9"/>
              <w:bottom w:val="single" w:sz="8" w:space="0" w:color="D9D9D9" w:themeColor="background1" w:themeShade="D9"/>
            </w:tcBorders>
          </w:tcPr>
          <w:p w14:paraId="03A91E1D" w14:textId="5E8A788A" w:rsidR="00C96C3A" w:rsidRPr="00C96C3A"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61E06">
              <w:rPr>
                <w:rFonts w:ascii="Arial" w:hAnsi="Arial" w:cs="Arial"/>
                <w:color w:val="000000"/>
                <w:sz w:val="20"/>
                <w:szCs w:val="20"/>
              </w:rPr>
              <w:t>Value Diversity and Inclusion</w:t>
            </w:r>
          </w:p>
        </w:tc>
        <w:tc>
          <w:tcPr>
            <w:tcW w:w="5760" w:type="dxa"/>
            <w:tcBorders>
              <w:top w:val="single" w:sz="8" w:space="0" w:color="D9D9D9" w:themeColor="background1" w:themeShade="D9"/>
              <w:bottom w:val="single" w:sz="8" w:space="0" w:color="D9D9D9" w:themeColor="background1" w:themeShade="D9"/>
            </w:tcBorders>
          </w:tcPr>
          <w:p w14:paraId="09F4E786" w14:textId="013F2260" w:rsidR="00C96C3A" w:rsidRPr="00C96C3A" w:rsidRDefault="00C96C3A" w:rsidP="00C96C3A">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61E06">
              <w:rPr>
                <w:rFonts w:ascii="Arial" w:hAnsi="Arial" w:cs="Arial"/>
                <w:color w:val="000000"/>
                <w:sz w:val="20"/>
                <w:szCs w:val="20"/>
              </w:rPr>
              <w:t xml:space="preserve">Demonstrate inclusive behaviour and show respect for diverse backgrounds, </w:t>
            </w:r>
            <w:proofErr w:type="gramStart"/>
            <w:r w:rsidRPr="00A61E06">
              <w:rPr>
                <w:rFonts w:ascii="Arial" w:hAnsi="Arial" w:cs="Arial"/>
                <w:color w:val="000000"/>
                <w:sz w:val="20"/>
                <w:szCs w:val="20"/>
              </w:rPr>
              <w:t>experiences</w:t>
            </w:r>
            <w:proofErr w:type="gramEnd"/>
            <w:r w:rsidRPr="00A61E06">
              <w:rPr>
                <w:rFonts w:ascii="Arial" w:hAnsi="Arial" w:cs="Arial"/>
                <w:color w:val="000000"/>
                <w:sz w:val="20"/>
                <w:szCs w:val="20"/>
              </w:rPr>
              <w:t xml:space="preserve"> and perspectives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362C0DF" w14:textId="72FB9134" w:rsidR="00C96C3A" w:rsidRPr="00DB7774" w:rsidRDefault="00C96C3A" w:rsidP="00C96C3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Intermediate</w:t>
            </w:r>
          </w:p>
        </w:tc>
      </w:tr>
      <w:tr w:rsidR="00C96C3A" w14:paraId="2E40E26E" w14:textId="77777777" w:rsidTr="00D43CDD">
        <w:trPr>
          <w:trHeight w:val="13"/>
        </w:trPr>
        <w:tc>
          <w:tcPr>
            <w:cnfStyle w:val="001000000000" w:firstRow="0" w:lastRow="0" w:firstColumn="1" w:lastColumn="0" w:oddVBand="0" w:evenVBand="0" w:oddHBand="0" w:evenHBand="0" w:firstRowFirstColumn="0" w:firstRowLastColumn="0" w:lastRowFirstColumn="0" w:lastRowLastColumn="0"/>
            <w:tcW w:w="1739" w:type="dxa"/>
            <w:vMerge w:val="restart"/>
            <w:tcBorders>
              <w:top w:val="single" w:sz="8" w:space="0" w:color="D9D9D9" w:themeColor="background1" w:themeShade="D9"/>
              <w:left w:val="single" w:sz="8" w:space="0" w:color="FFFFFF" w:themeColor="background1"/>
            </w:tcBorders>
          </w:tcPr>
          <w:p w14:paraId="5609DC85" w14:textId="3AD6A662" w:rsidR="00C96C3A" w:rsidRPr="00DB7774" w:rsidRDefault="00C96C3A" w:rsidP="00C96C3A">
            <w:pPr>
              <w:spacing w:before="120" w:line="276" w:lineRule="auto"/>
              <w:rPr>
                <w:rFonts w:ascii="Arial" w:hAnsi="Arial" w:cs="Arial"/>
                <w:sz w:val="20"/>
                <w:szCs w:val="20"/>
              </w:rPr>
            </w:pPr>
            <w:r w:rsidRPr="00A61E06">
              <w:rPr>
                <w:rFonts w:cs="Arial"/>
                <w:noProof/>
                <w:sz w:val="20"/>
                <w:szCs w:val="20"/>
                <w:lang w:eastAsia="en-AU"/>
              </w:rPr>
              <w:drawing>
                <wp:inline distT="0" distB="0" distL="0" distR="0" wp14:anchorId="57B9DC3C" wp14:editId="1042D373">
                  <wp:extent cx="758825" cy="758825"/>
                  <wp:effectExtent l="0" t="0" r="3175" b="3175"/>
                  <wp:docPr id="13" name="Picture 1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82" w:type="dxa"/>
            <w:tcBorders>
              <w:top w:val="single" w:sz="8" w:space="0" w:color="D9D9D9" w:themeColor="background1" w:themeShade="D9"/>
              <w:bottom w:val="single" w:sz="8" w:space="0" w:color="D9D9D9" w:themeColor="background1" w:themeShade="D9"/>
            </w:tcBorders>
          </w:tcPr>
          <w:p w14:paraId="535DBAD3" w14:textId="218FD80A" w:rsidR="00C96C3A" w:rsidRPr="00C96C3A" w:rsidRDefault="00C96C3A" w:rsidP="00C96C3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96C3A">
              <w:rPr>
                <w:rFonts w:ascii="Arial" w:hAnsi="Arial" w:cs="Arial"/>
                <w:color w:val="000000"/>
                <w:sz w:val="20"/>
                <w:szCs w:val="20"/>
              </w:rPr>
              <w:t>Commit to Customer Service</w:t>
            </w:r>
          </w:p>
        </w:tc>
        <w:tc>
          <w:tcPr>
            <w:tcW w:w="5760" w:type="dxa"/>
            <w:tcBorders>
              <w:top w:val="single" w:sz="8" w:space="0" w:color="D9D9D9" w:themeColor="background1" w:themeShade="D9"/>
              <w:bottom w:val="single" w:sz="8" w:space="0" w:color="D9D9D9" w:themeColor="background1" w:themeShade="D9"/>
            </w:tcBorders>
          </w:tcPr>
          <w:p w14:paraId="4DD508B1" w14:textId="265FB9A6" w:rsidR="00C96C3A" w:rsidRPr="00C96C3A" w:rsidRDefault="00C96C3A" w:rsidP="00C96C3A">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96C3A">
              <w:rPr>
                <w:rFonts w:ascii="Arial" w:hAnsi="Arial" w:cs="Arial"/>
                <w:color w:val="000000"/>
                <w:sz w:val="20"/>
                <w:szCs w:val="20"/>
              </w:rPr>
              <w:t>Provide customer-focused services in line with public sector and organisational objectives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05C7C7CD" w:rsidR="00C96C3A" w:rsidRPr="00DB7774" w:rsidRDefault="00C96C3A" w:rsidP="00C96C3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C96C3A" w14:paraId="1870CCC1" w14:textId="77777777" w:rsidTr="00D43CD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9" w:type="dxa"/>
            <w:vMerge/>
            <w:tcBorders>
              <w:left w:val="single" w:sz="8" w:space="0" w:color="FFFFFF" w:themeColor="background1"/>
              <w:bottom w:val="single" w:sz="8" w:space="0" w:color="BCBEC0"/>
            </w:tcBorders>
          </w:tcPr>
          <w:p w14:paraId="0A3B5B33" w14:textId="77777777" w:rsidR="00C96C3A" w:rsidRPr="00DB7774" w:rsidRDefault="00C96C3A" w:rsidP="00C96C3A">
            <w:pPr>
              <w:spacing w:before="120" w:line="276" w:lineRule="auto"/>
              <w:rPr>
                <w:rFonts w:ascii="Arial" w:hAnsi="Arial" w:cs="Arial"/>
                <w:sz w:val="20"/>
                <w:szCs w:val="20"/>
              </w:rPr>
            </w:pPr>
          </w:p>
        </w:tc>
        <w:tc>
          <w:tcPr>
            <w:tcW w:w="1882" w:type="dxa"/>
            <w:tcBorders>
              <w:top w:val="single" w:sz="8" w:space="0" w:color="D9D9D9" w:themeColor="background1" w:themeShade="D9"/>
              <w:bottom w:val="single" w:sz="8" w:space="0" w:color="D9D9D9" w:themeColor="background1" w:themeShade="D9"/>
            </w:tcBorders>
          </w:tcPr>
          <w:p w14:paraId="22266C36" w14:textId="1474C26C" w:rsidR="00C96C3A" w:rsidRPr="00C96C3A"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61E06">
              <w:rPr>
                <w:rFonts w:ascii="Arial" w:hAnsi="Arial" w:cs="Arial"/>
                <w:color w:val="000000"/>
                <w:sz w:val="20"/>
                <w:szCs w:val="20"/>
              </w:rPr>
              <w:t>Influence and Negotiate</w:t>
            </w:r>
          </w:p>
        </w:tc>
        <w:tc>
          <w:tcPr>
            <w:tcW w:w="5760" w:type="dxa"/>
            <w:tcBorders>
              <w:top w:val="single" w:sz="8" w:space="0" w:color="D9D9D9" w:themeColor="background1" w:themeShade="D9"/>
              <w:bottom w:val="single" w:sz="8" w:space="0" w:color="D9D9D9" w:themeColor="background1" w:themeShade="D9"/>
            </w:tcBorders>
          </w:tcPr>
          <w:p w14:paraId="37122A0C" w14:textId="5E535909" w:rsidR="00C96C3A" w:rsidRPr="00C96C3A" w:rsidRDefault="00C96C3A" w:rsidP="00C96C3A">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sidRPr="00A61E06">
              <w:rPr>
                <w:rFonts w:cs="Arial"/>
                <w:color w:val="000000"/>
              </w:rPr>
              <w:t>Gain consensus and commitment from others, and resolve issues and conflicts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013F52AF" w:rsidR="00C96C3A" w:rsidRPr="00DB7774"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C96C3A" w14:paraId="50D07CEB" w14:textId="77777777" w:rsidTr="00D43CDD">
        <w:trPr>
          <w:trHeight w:val="5"/>
        </w:trPr>
        <w:tc>
          <w:tcPr>
            <w:cnfStyle w:val="001000000000" w:firstRow="0" w:lastRow="0" w:firstColumn="1" w:lastColumn="0" w:oddVBand="0" w:evenVBand="0" w:oddHBand="0" w:evenHBand="0" w:firstRowFirstColumn="0" w:firstRowLastColumn="0" w:lastRowFirstColumn="0" w:lastRowLastColumn="0"/>
            <w:tcW w:w="1739" w:type="dxa"/>
            <w:vMerge w:val="restart"/>
            <w:tcBorders>
              <w:top w:val="single" w:sz="8" w:space="0" w:color="BCBEC0"/>
              <w:left w:val="single" w:sz="8" w:space="0" w:color="FFFFFF" w:themeColor="background1"/>
            </w:tcBorders>
          </w:tcPr>
          <w:p w14:paraId="561AECFA" w14:textId="5BA0854A" w:rsidR="00C96C3A" w:rsidRPr="00DB7774" w:rsidRDefault="00C96C3A" w:rsidP="00C96C3A">
            <w:pPr>
              <w:spacing w:before="120" w:line="276" w:lineRule="auto"/>
              <w:rPr>
                <w:rFonts w:ascii="Arial" w:hAnsi="Arial" w:cs="Arial"/>
                <w:sz w:val="20"/>
                <w:szCs w:val="20"/>
              </w:rPr>
            </w:pPr>
            <w:r w:rsidRPr="00A61E06">
              <w:rPr>
                <w:rFonts w:cs="Arial"/>
                <w:noProof/>
                <w:sz w:val="20"/>
                <w:szCs w:val="20"/>
                <w:lang w:eastAsia="en-AU"/>
              </w:rPr>
              <w:drawing>
                <wp:inline distT="0" distB="0" distL="0" distR="0" wp14:anchorId="382647A4" wp14:editId="2F973DAA">
                  <wp:extent cx="758825" cy="758825"/>
                  <wp:effectExtent l="0" t="0" r="3175" b="3175"/>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82" w:type="dxa"/>
            <w:tcBorders>
              <w:top w:val="single" w:sz="8" w:space="0" w:color="D9D9D9" w:themeColor="background1" w:themeShade="D9"/>
              <w:bottom w:val="single" w:sz="8" w:space="0" w:color="D9D9D9" w:themeColor="background1" w:themeShade="D9"/>
            </w:tcBorders>
          </w:tcPr>
          <w:p w14:paraId="620211AE" w14:textId="219C8B4E" w:rsidR="00C96C3A" w:rsidRPr="00DB7774" w:rsidRDefault="00C96C3A" w:rsidP="00C96C3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6E08">
              <w:t>Deliver Results</w:t>
            </w:r>
          </w:p>
        </w:tc>
        <w:tc>
          <w:tcPr>
            <w:tcW w:w="5760" w:type="dxa"/>
            <w:tcBorders>
              <w:top w:val="single" w:sz="8" w:space="0" w:color="D9D9D9" w:themeColor="background1" w:themeShade="D9"/>
              <w:bottom w:val="single" w:sz="8" w:space="0" w:color="D9D9D9" w:themeColor="background1" w:themeShade="D9"/>
            </w:tcBorders>
          </w:tcPr>
          <w:p w14:paraId="046D2F69" w14:textId="0D98E404" w:rsidR="00C96C3A" w:rsidRPr="00DB7774" w:rsidRDefault="00C96C3A" w:rsidP="00C96C3A">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396E08">
              <w:t>Achieve results through the efficient use of resources and a commitment to quality outcomes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3A3ADE25" w:rsidR="00C96C3A" w:rsidRPr="00DB7774" w:rsidRDefault="00C96C3A" w:rsidP="00C96C3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C96C3A" w14:paraId="48FC513F" w14:textId="77777777" w:rsidTr="00D43CD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9" w:type="dxa"/>
            <w:vMerge/>
            <w:tcBorders>
              <w:left w:val="single" w:sz="8" w:space="0" w:color="FFFFFF" w:themeColor="background1"/>
              <w:bottom w:val="single" w:sz="8" w:space="0" w:color="BCBEC0"/>
            </w:tcBorders>
          </w:tcPr>
          <w:p w14:paraId="1B22854C" w14:textId="77777777" w:rsidR="00C96C3A" w:rsidRPr="00DB7774" w:rsidRDefault="00C96C3A" w:rsidP="00C96C3A">
            <w:pPr>
              <w:spacing w:before="120" w:line="276" w:lineRule="auto"/>
              <w:rPr>
                <w:rFonts w:ascii="Arial" w:hAnsi="Arial" w:cs="Arial"/>
                <w:sz w:val="20"/>
                <w:szCs w:val="20"/>
              </w:rPr>
            </w:pPr>
          </w:p>
        </w:tc>
        <w:tc>
          <w:tcPr>
            <w:tcW w:w="1882" w:type="dxa"/>
            <w:tcBorders>
              <w:top w:val="single" w:sz="8" w:space="0" w:color="D9D9D9" w:themeColor="background1" w:themeShade="D9"/>
              <w:bottom w:val="single" w:sz="8" w:space="0" w:color="D9D9D9" w:themeColor="background1" w:themeShade="D9"/>
            </w:tcBorders>
          </w:tcPr>
          <w:p w14:paraId="166078CC" w14:textId="0D9DEA99" w:rsidR="00C96C3A" w:rsidRPr="00DB7774"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1DFD">
              <w:t>Demonstrate Accountability</w:t>
            </w:r>
          </w:p>
        </w:tc>
        <w:tc>
          <w:tcPr>
            <w:tcW w:w="5760" w:type="dxa"/>
            <w:tcBorders>
              <w:top w:val="single" w:sz="8" w:space="0" w:color="D9D9D9" w:themeColor="background1" w:themeShade="D9"/>
              <w:bottom w:val="single" w:sz="8" w:space="0" w:color="D9D9D9" w:themeColor="background1" w:themeShade="D9"/>
            </w:tcBorders>
          </w:tcPr>
          <w:p w14:paraId="0E06E8D4" w14:textId="7E3DA886" w:rsidR="00C96C3A" w:rsidRPr="00DB7774" w:rsidRDefault="00C96C3A" w:rsidP="00C96C3A">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A51DFD">
              <w:t xml:space="preserve">Be proactive and responsible for own actions, and adhere to legislation, </w:t>
            </w:r>
            <w:proofErr w:type="gramStart"/>
            <w:r w:rsidRPr="00A51DFD">
              <w:t>policy</w:t>
            </w:r>
            <w:proofErr w:type="gramEnd"/>
            <w:r w:rsidRPr="00A51DFD">
              <w:t xml:space="preserve"> and guidelines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4BD25257" w:rsidR="00C96C3A" w:rsidRPr="00DB7774" w:rsidRDefault="00C96C3A" w:rsidP="00C96C3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D43CDD" w14:paraId="0CCA2742" w14:textId="77777777" w:rsidTr="00D43CDD">
        <w:trPr>
          <w:trHeight w:val="5"/>
        </w:trPr>
        <w:tc>
          <w:tcPr>
            <w:cnfStyle w:val="001000000000" w:firstRow="0" w:lastRow="0" w:firstColumn="1" w:lastColumn="0" w:oddVBand="0" w:evenVBand="0" w:oddHBand="0" w:evenHBand="0" w:firstRowFirstColumn="0" w:firstRowLastColumn="0" w:lastRowFirstColumn="0" w:lastRowLastColumn="0"/>
            <w:tcW w:w="1739" w:type="dxa"/>
            <w:vMerge w:val="restart"/>
            <w:tcBorders>
              <w:left w:val="single" w:sz="8" w:space="0" w:color="FFFFFF" w:themeColor="background1"/>
            </w:tcBorders>
          </w:tcPr>
          <w:p w14:paraId="2E25DA78" w14:textId="499F6BBE" w:rsidR="00D43CDD" w:rsidRPr="00DB7774" w:rsidRDefault="00D43CDD" w:rsidP="00D43CDD">
            <w:pPr>
              <w:spacing w:before="120"/>
              <w:rPr>
                <w:rFonts w:cs="Arial"/>
                <w:sz w:val="20"/>
                <w:szCs w:val="20"/>
              </w:rPr>
            </w:pPr>
            <w:r>
              <w:rPr>
                <w:noProof/>
                <w:lang w:eastAsia="en-AU"/>
              </w:rPr>
              <w:drawing>
                <wp:inline distT="0" distB="0" distL="0" distR="0" wp14:anchorId="03F53444" wp14:editId="70E2B8D1">
                  <wp:extent cx="845185" cy="845185"/>
                  <wp:effectExtent l="0" t="0" r="0" b="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1882" w:type="dxa"/>
            <w:tcBorders>
              <w:top w:val="single" w:sz="8" w:space="0" w:color="D9D9D9" w:themeColor="background1" w:themeShade="D9"/>
              <w:bottom w:val="single" w:sz="8" w:space="0" w:color="D9D9D9" w:themeColor="background1" w:themeShade="D9"/>
            </w:tcBorders>
          </w:tcPr>
          <w:p w14:paraId="7D3AE94F" w14:textId="3C049BB5" w:rsidR="00D43CDD" w:rsidRPr="00A51DFD" w:rsidRDefault="00D43CDD" w:rsidP="00D43CDD">
            <w:pPr>
              <w:spacing w:before="120"/>
              <w:cnfStyle w:val="000000000000" w:firstRow="0" w:lastRow="0" w:firstColumn="0" w:lastColumn="0" w:oddVBand="0" w:evenVBand="0" w:oddHBand="0" w:evenHBand="0" w:firstRowFirstColumn="0" w:firstRowLastColumn="0" w:lastRowFirstColumn="0" w:lastRowLastColumn="0"/>
            </w:pPr>
            <w:r>
              <w:rPr>
                <w:rFonts w:cs="Arial"/>
                <w:color w:val="000000"/>
              </w:rPr>
              <w:t>Finance</w:t>
            </w:r>
          </w:p>
        </w:tc>
        <w:tc>
          <w:tcPr>
            <w:tcW w:w="5760" w:type="dxa"/>
            <w:tcBorders>
              <w:top w:val="single" w:sz="8" w:space="0" w:color="D9D9D9" w:themeColor="background1" w:themeShade="D9"/>
              <w:bottom w:val="single" w:sz="8" w:space="0" w:color="D9D9D9" w:themeColor="background1" w:themeShade="D9"/>
            </w:tcBorders>
          </w:tcPr>
          <w:p w14:paraId="581572FC" w14:textId="17D64D2B" w:rsidR="00D43CDD" w:rsidRPr="00A51DFD" w:rsidRDefault="00D43CDD" w:rsidP="00D43C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pPr>
            <w:r>
              <w:rPr>
                <w:rFonts w:cs="Arial"/>
                <w:color w:val="000000"/>
              </w:rPr>
              <w:t>Understand and apply financial processes to achieve value for money and minimise financial risk</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9E90DFB" w14:textId="135B1901" w:rsidR="00D43CDD" w:rsidRDefault="00D43CDD" w:rsidP="00D43CD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rPr>
              <w:t>Intermediate</w:t>
            </w:r>
          </w:p>
        </w:tc>
      </w:tr>
      <w:tr w:rsidR="00D43CDD" w14:paraId="3028B9B4" w14:textId="77777777" w:rsidTr="00D43CD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9" w:type="dxa"/>
            <w:vMerge/>
            <w:tcBorders>
              <w:left w:val="single" w:sz="8" w:space="0" w:color="FFFFFF" w:themeColor="background1"/>
            </w:tcBorders>
          </w:tcPr>
          <w:p w14:paraId="571D7335" w14:textId="77777777" w:rsidR="00D43CDD" w:rsidRDefault="00D43CDD" w:rsidP="00D43CDD">
            <w:pPr>
              <w:spacing w:before="120"/>
              <w:rPr>
                <w:noProof/>
                <w:lang w:eastAsia="en-AU"/>
              </w:rPr>
            </w:pPr>
          </w:p>
        </w:tc>
        <w:tc>
          <w:tcPr>
            <w:tcW w:w="1882" w:type="dxa"/>
            <w:tcBorders>
              <w:top w:val="single" w:sz="8" w:space="0" w:color="D9D9D9" w:themeColor="background1" w:themeShade="D9"/>
              <w:bottom w:val="single" w:sz="8" w:space="0" w:color="D9D9D9" w:themeColor="background1" w:themeShade="D9"/>
            </w:tcBorders>
          </w:tcPr>
          <w:p w14:paraId="1FD98D86" w14:textId="4E7A1D26" w:rsidR="00D43CDD" w:rsidRPr="00D43CDD" w:rsidRDefault="00D43CDD" w:rsidP="00D43CDD">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pPr>
            <w:r w:rsidRPr="00D43CDD">
              <w:t>Procurement and Contract Management</w:t>
            </w:r>
          </w:p>
        </w:tc>
        <w:tc>
          <w:tcPr>
            <w:tcW w:w="5760" w:type="dxa"/>
            <w:tcBorders>
              <w:top w:val="single" w:sz="8" w:space="0" w:color="D9D9D9" w:themeColor="background1" w:themeShade="D9"/>
              <w:bottom w:val="single" w:sz="8" w:space="0" w:color="D9D9D9" w:themeColor="background1" w:themeShade="D9"/>
            </w:tcBorders>
          </w:tcPr>
          <w:p w14:paraId="78171C47" w14:textId="3DBD15B1" w:rsidR="00D43CDD" w:rsidRPr="00D43CDD" w:rsidRDefault="00D43CDD" w:rsidP="00D43CDD">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pPr>
            <w:r w:rsidRPr="00D43CDD">
              <w:t>Understand and apply procurement processes to ensure effective purchasing and contract performance</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29A4BE64" w14:textId="1359582D" w:rsidR="00D43CDD" w:rsidRPr="00D43CDD" w:rsidRDefault="00D43CDD" w:rsidP="00D43CDD">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pPr>
            <w:r w:rsidRPr="00D43CDD">
              <w:t>Intermediate</w:t>
            </w:r>
          </w:p>
        </w:tc>
      </w:tr>
      <w:tr w:rsidR="00D43CDD" w14:paraId="48F790A5" w14:textId="77777777" w:rsidTr="00D43CDD">
        <w:trPr>
          <w:trHeight w:val="5"/>
        </w:trPr>
        <w:tc>
          <w:tcPr>
            <w:cnfStyle w:val="001000000000" w:firstRow="0" w:lastRow="0" w:firstColumn="1" w:lastColumn="0" w:oddVBand="0" w:evenVBand="0" w:oddHBand="0" w:evenHBand="0" w:firstRowFirstColumn="0" w:firstRowLastColumn="0" w:lastRowFirstColumn="0" w:lastRowLastColumn="0"/>
            <w:tcW w:w="1739" w:type="dxa"/>
            <w:vMerge/>
            <w:tcBorders>
              <w:left w:val="single" w:sz="8" w:space="0" w:color="FFFFFF" w:themeColor="background1"/>
              <w:bottom w:val="single" w:sz="8" w:space="0" w:color="BCBEC0"/>
            </w:tcBorders>
          </w:tcPr>
          <w:p w14:paraId="4575B99D" w14:textId="77777777" w:rsidR="00D43CDD" w:rsidRDefault="00D43CDD" w:rsidP="00D43CDD">
            <w:pPr>
              <w:spacing w:before="120"/>
              <w:rPr>
                <w:noProof/>
                <w:lang w:eastAsia="en-AU"/>
              </w:rPr>
            </w:pPr>
          </w:p>
        </w:tc>
        <w:tc>
          <w:tcPr>
            <w:tcW w:w="1882" w:type="dxa"/>
            <w:tcBorders>
              <w:top w:val="single" w:sz="8" w:space="0" w:color="D9D9D9" w:themeColor="background1" w:themeShade="D9"/>
              <w:bottom w:val="single" w:sz="8" w:space="0" w:color="BCBEC0"/>
            </w:tcBorders>
          </w:tcPr>
          <w:p w14:paraId="505E8CE2" w14:textId="71E03C3D" w:rsidR="00D43CDD" w:rsidRPr="00D43CDD" w:rsidRDefault="00D43CDD" w:rsidP="00D43C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pPr>
            <w:r w:rsidRPr="00D43CDD">
              <w:t>Project Management</w:t>
            </w:r>
          </w:p>
        </w:tc>
        <w:tc>
          <w:tcPr>
            <w:tcW w:w="5760" w:type="dxa"/>
            <w:tcBorders>
              <w:top w:val="single" w:sz="8" w:space="0" w:color="D9D9D9" w:themeColor="background1" w:themeShade="D9"/>
              <w:bottom w:val="single" w:sz="8" w:space="0" w:color="BCBEC0"/>
            </w:tcBorders>
          </w:tcPr>
          <w:p w14:paraId="564F9391" w14:textId="4273D1DE" w:rsidR="00D43CDD" w:rsidRPr="00D43CDD" w:rsidRDefault="00D43CDD" w:rsidP="00D43C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pPr>
            <w:r w:rsidRPr="00D43CDD">
              <w:t xml:space="preserve">Understand and apply effective planning, </w:t>
            </w:r>
            <w:proofErr w:type="gramStart"/>
            <w:r w:rsidRPr="00D43CDD">
              <w:t>coordination</w:t>
            </w:r>
            <w:proofErr w:type="gramEnd"/>
            <w:r w:rsidRPr="00D43CDD">
              <w:t xml:space="preserve"> and control methods</w:t>
            </w:r>
          </w:p>
        </w:tc>
        <w:tc>
          <w:tcPr>
            <w:tcW w:w="1387" w:type="dxa"/>
            <w:tcBorders>
              <w:top w:val="single" w:sz="8" w:space="0" w:color="D9D9D9" w:themeColor="background1" w:themeShade="D9"/>
              <w:bottom w:val="single" w:sz="8" w:space="0" w:color="BCBEC0"/>
              <w:right w:val="single" w:sz="8" w:space="0" w:color="FFFFFF" w:themeColor="background1"/>
            </w:tcBorders>
          </w:tcPr>
          <w:p w14:paraId="45DCF6DF" w14:textId="6FC19564" w:rsidR="00D43CDD" w:rsidRPr="00D43CDD" w:rsidRDefault="00D43CDD" w:rsidP="00D43CDD">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pPr>
            <w:r w:rsidRPr="00D43CDD">
              <w:t>Intermediate</w:t>
            </w:r>
          </w:p>
        </w:tc>
      </w:tr>
    </w:tbl>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0" w:type="auto"/>
        <w:tblInd w:w="-142" w:type="dxa"/>
        <w:tblLook w:val="04A0" w:firstRow="1" w:lastRow="0" w:firstColumn="1" w:lastColumn="0" w:noHBand="0" w:noVBand="1"/>
      </w:tblPr>
      <w:tblGrid>
        <w:gridCol w:w="2022"/>
        <w:gridCol w:w="1928"/>
        <w:gridCol w:w="5074"/>
        <w:gridCol w:w="1841"/>
      </w:tblGrid>
      <w:tr w:rsidR="00313197" w:rsidRPr="00847160" w14:paraId="66FD3509" w14:textId="77777777" w:rsidTr="00D43CDD">
        <w:trPr>
          <w:cnfStyle w:val="100000000000" w:firstRow="1" w:lastRow="0" w:firstColumn="0" w:lastColumn="0" w:oddVBand="0" w:evenVBand="0" w:oddHBand="0" w:evenHBand="0" w:firstRowFirstColumn="0" w:firstRowLastColumn="0" w:lastRowFirstColumn="0" w:lastRowLastColumn="0"/>
          <w:trHeight w:val="476"/>
          <w:tblHeader/>
        </w:trPr>
        <w:tc>
          <w:tcPr>
            <w:tcW w:w="10865"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D43CDD">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928"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4"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41" w:type="dxa"/>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D43CDD">
        <w:trPr>
          <w:cantSplit/>
        </w:trPr>
        <w:tc>
          <w:tcPr>
            <w:tcW w:w="2022" w:type="dxa"/>
            <w:tcBorders>
              <w:top w:val="single" w:sz="18" w:space="0" w:color="auto"/>
            </w:tcBorders>
          </w:tcPr>
          <w:p w14:paraId="4B71FF52" w14:textId="0ED6206F" w:rsidR="00D43CDD" w:rsidRPr="00D43CDD" w:rsidRDefault="00D43CDD" w:rsidP="00D43CDD">
            <w:pPr>
              <w:spacing w:before="120" w:line="276" w:lineRule="auto"/>
              <w:rPr>
                <w:rFonts w:cs="Arial"/>
                <w:b/>
                <w:bCs/>
                <w:color w:val="000000"/>
              </w:rPr>
            </w:pPr>
            <w:r w:rsidRPr="00D43CDD">
              <w:rPr>
                <w:rFonts w:cs="Arial"/>
                <w:b/>
                <w:bCs/>
                <w:color w:val="000000"/>
              </w:rPr>
              <w:t>Testing</w:t>
            </w:r>
          </w:p>
          <w:p w14:paraId="769C2633" w14:textId="72B95800" w:rsidR="00923772" w:rsidRPr="00DB7774" w:rsidRDefault="00923772" w:rsidP="00D43CDD">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28" w:type="dxa"/>
            <w:tcBorders>
              <w:top w:val="single" w:sz="18" w:space="0" w:color="auto"/>
            </w:tcBorders>
            <w:shd w:val="clear" w:color="auto" w:fill="auto"/>
          </w:tcPr>
          <w:p w14:paraId="7BA47E18" w14:textId="77777777" w:rsidR="00D43CDD" w:rsidRDefault="00D43CDD" w:rsidP="00DB7774">
            <w:pPr>
              <w:pStyle w:val="TableTextWhite0"/>
              <w:keepNext/>
              <w:keepLines/>
              <w:spacing w:before="120" w:line="276" w:lineRule="auto"/>
              <w:rPr>
                <w:rFonts w:cs="Arial"/>
                <w:b w:val="0"/>
                <w:bCs/>
                <w:color w:val="auto"/>
              </w:rPr>
            </w:pPr>
            <w:r w:rsidRPr="00D43CDD">
              <w:rPr>
                <w:rFonts w:cs="Arial"/>
                <w:b w:val="0"/>
                <w:bCs/>
                <w:color w:val="auto"/>
              </w:rPr>
              <w:t>Development and implementation</w:t>
            </w:r>
            <w:r w:rsidRPr="00D43CDD">
              <w:rPr>
                <w:rFonts w:cs="Arial"/>
                <w:b w:val="0"/>
                <w:bCs/>
                <w:color w:val="auto"/>
              </w:rPr>
              <w:tab/>
            </w:r>
          </w:p>
          <w:p w14:paraId="1FCC3AEE" w14:textId="1003C4E0" w:rsidR="00923772" w:rsidRPr="00DB7774" w:rsidRDefault="00D43CDD" w:rsidP="00DB7774">
            <w:pPr>
              <w:pStyle w:val="TableTextWhite0"/>
              <w:keepNext/>
              <w:keepLines/>
              <w:spacing w:before="120" w:line="276" w:lineRule="auto"/>
              <w:rPr>
                <w:rFonts w:cs="Arial"/>
                <w:b w:val="0"/>
                <w:bCs/>
                <w:color w:val="auto"/>
              </w:rPr>
            </w:pPr>
            <w:r w:rsidRPr="00D43CDD">
              <w:rPr>
                <w:rFonts w:cs="Arial"/>
                <w:b w:val="0"/>
                <w:bCs/>
                <w:color w:val="auto"/>
              </w:rPr>
              <w:t>Systems development</w:t>
            </w:r>
          </w:p>
        </w:tc>
        <w:tc>
          <w:tcPr>
            <w:tcW w:w="5074" w:type="dxa"/>
            <w:tcBorders>
              <w:top w:val="single" w:sz="18" w:space="0" w:color="auto"/>
            </w:tcBorders>
            <w:shd w:val="clear" w:color="auto" w:fill="auto"/>
          </w:tcPr>
          <w:p w14:paraId="452F5BAD" w14:textId="62D520AD" w:rsidR="00923772" w:rsidRPr="00DB7774" w:rsidRDefault="00D43CDD" w:rsidP="00DB7774">
            <w:pPr>
              <w:pStyle w:val="TableTextWhite0"/>
              <w:keepNext/>
              <w:keepLines/>
              <w:spacing w:before="120" w:line="276" w:lineRule="auto"/>
              <w:rPr>
                <w:rFonts w:cs="Arial"/>
                <w:b w:val="0"/>
                <w:bCs/>
                <w:color w:val="auto"/>
              </w:rPr>
            </w:pPr>
            <w:r w:rsidRPr="00D43CDD">
              <w:rPr>
                <w:rFonts w:cs="Arial"/>
                <w:b w:val="0"/>
                <w:bCs/>
                <w:color w:val="auto"/>
              </w:rPr>
              <w:t xml:space="preserve">The planning, design, management, execution and reporting of tests, using appropriate testing tools and </w:t>
            </w:r>
            <w:proofErr w:type="gramStart"/>
            <w:r w:rsidRPr="00D43CDD">
              <w:rPr>
                <w:rFonts w:cs="Arial"/>
                <w:b w:val="0"/>
                <w:bCs/>
                <w:color w:val="auto"/>
              </w:rPr>
              <w:t>techniques</w:t>
            </w:r>
            <w:proofErr w:type="gramEnd"/>
            <w:r w:rsidRPr="00D43CDD">
              <w:rPr>
                <w:rFonts w:cs="Arial"/>
                <w:b w:val="0"/>
                <w:bCs/>
                <w:color w:val="auto"/>
              </w:rPr>
              <w:t xml:space="preserve"> and conforming to agreed process standards and industry specific regulations. The purpose of testing is to ensure that new and amended systems, configurations, packages, or services, together with any interfaces, perform as specified (including security requirements), and that the risks associated with deployment are adequately understood and documented. Testing includes the process of engineering, </w:t>
            </w:r>
            <w:proofErr w:type="gramStart"/>
            <w:r w:rsidRPr="00D43CDD">
              <w:rPr>
                <w:rFonts w:cs="Arial"/>
                <w:b w:val="0"/>
                <w:bCs/>
                <w:color w:val="auto"/>
              </w:rPr>
              <w:t>using</w:t>
            </w:r>
            <w:proofErr w:type="gramEnd"/>
            <w:r w:rsidRPr="00D43CDD">
              <w:rPr>
                <w:rFonts w:cs="Arial"/>
                <w:b w:val="0"/>
                <w:bCs/>
                <w:color w:val="auto"/>
              </w:rPr>
              <w:t xml:space="preserve"> and maintaining testware (test cases, test scripts, test reports, test plans, etc) to measure and improve the quality of the software being tested.</w:t>
            </w:r>
          </w:p>
        </w:tc>
        <w:tc>
          <w:tcPr>
            <w:tcW w:w="1841" w:type="dxa"/>
            <w:tcBorders>
              <w:top w:val="single" w:sz="18" w:space="0" w:color="auto"/>
            </w:tcBorders>
            <w:shd w:val="clear" w:color="auto" w:fill="auto"/>
          </w:tcPr>
          <w:p w14:paraId="3D087A7A" w14:textId="77777777" w:rsidR="00923772" w:rsidRDefault="00D43CDD" w:rsidP="00DB7774">
            <w:pPr>
              <w:pStyle w:val="TableTextWhite0"/>
              <w:keepNext/>
              <w:keepLines/>
              <w:spacing w:before="120" w:line="276" w:lineRule="auto"/>
              <w:rPr>
                <w:rFonts w:cs="Arial"/>
                <w:b w:val="0"/>
                <w:bCs/>
                <w:color w:val="auto"/>
              </w:rPr>
            </w:pPr>
            <w:r>
              <w:rPr>
                <w:rFonts w:cs="Arial"/>
                <w:b w:val="0"/>
                <w:bCs/>
                <w:color w:val="auto"/>
              </w:rPr>
              <w:t>Level 4</w:t>
            </w:r>
          </w:p>
          <w:p w14:paraId="68BC1E90" w14:textId="0FF80E07" w:rsidR="00D43CDD" w:rsidRPr="00DB7774" w:rsidRDefault="00D43CDD" w:rsidP="00DB7774">
            <w:pPr>
              <w:pStyle w:val="TableTextWhite0"/>
              <w:keepNext/>
              <w:keepLines/>
              <w:spacing w:before="120" w:line="276" w:lineRule="auto"/>
              <w:rPr>
                <w:rFonts w:cs="Arial"/>
                <w:b w:val="0"/>
                <w:bCs/>
                <w:color w:val="auto"/>
              </w:rPr>
            </w:pPr>
            <w:r>
              <w:rPr>
                <w:rFonts w:cs="Arial"/>
                <w:b w:val="0"/>
                <w:bCs/>
                <w:color w:val="auto"/>
              </w:rPr>
              <w:t>TEST</w:t>
            </w:r>
          </w:p>
        </w:tc>
      </w:tr>
      <w:tr w:rsidR="00BD34CA" w:rsidRPr="00BD34CA" w14:paraId="6BA8CAC6" w14:textId="77777777" w:rsidTr="00D43CDD">
        <w:trPr>
          <w:cantSplit/>
        </w:trPr>
        <w:tc>
          <w:tcPr>
            <w:tcW w:w="2022" w:type="dxa"/>
          </w:tcPr>
          <w:p w14:paraId="0DD7D988" w14:textId="77777777" w:rsidR="00D43CDD" w:rsidRPr="00D43CDD" w:rsidRDefault="00D43CDD" w:rsidP="00D43CDD">
            <w:pPr>
              <w:spacing w:before="120" w:line="276" w:lineRule="auto"/>
              <w:rPr>
                <w:rFonts w:cs="Arial"/>
                <w:b/>
                <w:bCs/>
                <w:color w:val="000000"/>
              </w:rPr>
            </w:pPr>
            <w:r w:rsidRPr="00D43CDD">
              <w:rPr>
                <w:rFonts w:cs="Arial"/>
                <w:b/>
                <w:bCs/>
                <w:color w:val="000000"/>
              </w:rPr>
              <w:t>User experience design</w:t>
            </w:r>
          </w:p>
          <w:p w14:paraId="14B37778" w14:textId="4141557D" w:rsidR="00923772" w:rsidRPr="00DB7774" w:rsidRDefault="00D43CDD"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02796C96" wp14:editId="0747779C">
                  <wp:extent cx="1247775" cy="572858"/>
                  <wp:effectExtent l="0" t="0" r="0" b="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28" w:type="dxa"/>
            <w:shd w:val="clear" w:color="auto" w:fill="auto"/>
          </w:tcPr>
          <w:p w14:paraId="74B72C71" w14:textId="77777777" w:rsidR="00D43CDD" w:rsidRDefault="00D43CDD" w:rsidP="00DB7774">
            <w:pPr>
              <w:pStyle w:val="TableTextWhite0"/>
              <w:keepNext/>
              <w:keepLines/>
              <w:spacing w:before="120" w:line="276" w:lineRule="auto"/>
              <w:rPr>
                <w:rFonts w:cs="Arial"/>
                <w:b w:val="0"/>
                <w:bCs/>
                <w:color w:val="auto"/>
              </w:rPr>
            </w:pPr>
            <w:r w:rsidRPr="00D43CDD">
              <w:rPr>
                <w:rFonts w:cs="Arial"/>
                <w:b w:val="0"/>
                <w:bCs/>
                <w:color w:val="auto"/>
              </w:rPr>
              <w:t>Development and implementation</w:t>
            </w:r>
            <w:r w:rsidRPr="00D43CDD">
              <w:rPr>
                <w:rFonts w:cs="Arial"/>
                <w:b w:val="0"/>
                <w:bCs/>
                <w:color w:val="auto"/>
              </w:rPr>
              <w:tab/>
            </w:r>
          </w:p>
          <w:p w14:paraId="47724125" w14:textId="2EF128CE" w:rsidR="00923772" w:rsidRPr="00DB7774" w:rsidRDefault="00D43CDD" w:rsidP="00DB7774">
            <w:pPr>
              <w:pStyle w:val="TableTextWhite0"/>
              <w:keepNext/>
              <w:keepLines/>
              <w:spacing w:before="120" w:line="276" w:lineRule="auto"/>
              <w:rPr>
                <w:rFonts w:cs="Arial"/>
                <w:b w:val="0"/>
                <w:bCs/>
                <w:color w:val="auto"/>
              </w:rPr>
            </w:pPr>
            <w:r w:rsidRPr="00D43CDD">
              <w:rPr>
                <w:rFonts w:cs="Arial"/>
                <w:b w:val="0"/>
                <w:bCs/>
                <w:color w:val="auto"/>
              </w:rPr>
              <w:t>User experience</w:t>
            </w:r>
          </w:p>
        </w:tc>
        <w:tc>
          <w:tcPr>
            <w:tcW w:w="5074" w:type="dxa"/>
            <w:shd w:val="clear" w:color="auto" w:fill="auto"/>
          </w:tcPr>
          <w:p w14:paraId="0E458B72" w14:textId="1500C753" w:rsidR="00923772" w:rsidRPr="00DB7774" w:rsidRDefault="00D43CDD" w:rsidP="00DB7774">
            <w:pPr>
              <w:pStyle w:val="TableTextWhite0"/>
              <w:keepNext/>
              <w:keepLines/>
              <w:spacing w:before="120" w:line="276" w:lineRule="auto"/>
              <w:rPr>
                <w:rFonts w:cs="Arial"/>
                <w:b w:val="0"/>
                <w:bCs/>
                <w:color w:val="auto"/>
              </w:rPr>
            </w:pPr>
            <w:r w:rsidRPr="00D43CDD">
              <w:rPr>
                <w:rFonts w:cs="Arial"/>
                <w:b w:val="0"/>
                <w:bCs/>
                <w:color w:val="auto"/>
              </w:rPr>
              <w:t xml:space="preserve">The process of iterative design to enhance user satisfaction by improving the usability and accessibility provided when interacting with a system, </w:t>
            </w:r>
            <w:proofErr w:type="gramStart"/>
            <w:r w:rsidRPr="00D43CDD">
              <w:rPr>
                <w:rFonts w:cs="Arial"/>
                <w:b w:val="0"/>
                <w:bCs/>
                <w:color w:val="auto"/>
              </w:rPr>
              <w:t>product</w:t>
            </w:r>
            <w:proofErr w:type="gramEnd"/>
            <w:r w:rsidRPr="00D43CDD">
              <w:rPr>
                <w:rFonts w:cs="Arial"/>
                <w:b w:val="0"/>
                <w:bCs/>
                <w:color w:val="auto"/>
              </w:rPr>
              <w:t xml:space="preserve"> or service. The design of users’ digital and offline tasks, </w:t>
            </w:r>
            <w:proofErr w:type="gramStart"/>
            <w:r w:rsidRPr="00D43CDD">
              <w:rPr>
                <w:rFonts w:cs="Arial"/>
                <w:b w:val="0"/>
                <w:bCs/>
                <w:color w:val="auto"/>
              </w:rPr>
              <w:t>interactions</w:t>
            </w:r>
            <w:proofErr w:type="gramEnd"/>
            <w:r w:rsidRPr="00D43CDD">
              <w:rPr>
                <w:rFonts w:cs="Arial"/>
                <w:b w:val="0"/>
                <w:bCs/>
                <w:color w:val="auto"/>
              </w:rPr>
              <w:t xml:space="preserve"> and interfaces to meet usability and accessibility requirements. The refinement of designs in response to user-centred evaluation and feedback and communication of the design to those responsible for design, </w:t>
            </w:r>
            <w:proofErr w:type="gramStart"/>
            <w:r w:rsidRPr="00D43CDD">
              <w:rPr>
                <w:rFonts w:cs="Arial"/>
                <w:b w:val="0"/>
                <w:bCs/>
                <w:color w:val="auto"/>
              </w:rPr>
              <w:t>development</w:t>
            </w:r>
            <w:proofErr w:type="gramEnd"/>
            <w:r w:rsidRPr="00D43CDD">
              <w:rPr>
                <w:rFonts w:cs="Arial"/>
                <w:b w:val="0"/>
                <w:bCs/>
                <w:color w:val="auto"/>
              </w:rPr>
              <w:t xml:space="preserve"> and implementation.</w:t>
            </w:r>
          </w:p>
        </w:tc>
        <w:tc>
          <w:tcPr>
            <w:tcW w:w="1841" w:type="dxa"/>
            <w:shd w:val="clear" w:color="auto" w:fill="auto"/>
          </w:tcPr>
          <w:p w14:paraId="6E03A024" w14:textId="77777777" w:rsidR="00923772" w:rsidRDefault="00D43CDD" w:rsidP="00DB7774">
            <w:pPr>
              <w:pStyle w:val="TableTextWhite0"/>
              <w:keepNext/>
              <w:keepLines/>
              <w:spacing w:before="120" w:line="276" w:lineRule="auto"/>
              <w:rPr>
                <w:rFonts w:cs="Arial"/>
                <w:b w:val="0"/>
                <w:bCs/>
                <w:color w:val="auto"/>
              </w:rPr>
            </w:pPr>
            <w:r>
              <w:rPr>
                <w:rFonts w:cs="Arial"/>
                <w:b w:val="0"/>
                <w:bCs/>
                <w:color w:val="auto"/>
              </w:rPr>
              <w:t>Level 4</w:t>
            </w:r>
          </w:p>
          <w:p w14:paraId="207CB7ED" w14:textId="5BAA7C63" w:rsidR="00D43CDD" w:rsidRPr="00DB7774" w:rsidRDefault="00D43CDD" w:rsidP="00DB7774">
            <w:pPr>
              <w:pStyle w:val="TableTextWhite0"/>
              <w:keepNext/>
              <w:keepLines/>
              <w:spacing w:before="120" w:line="276" w:lineRule="auto"/>
              <w:rPr>
                <w:rFonts w:cs="Arial"/>
                <w:b w:val="0"/>
                <w:bCs/>
                <w:color w:val="auto"/>
              </w:rPr>
            </w:pPr>
            <w:r>
              <w:rPr>
                <w:rFonts w:cs="Arial"/>
                <w:b w:val="0"/>
                <w:bCs/>
                <w:color w:val="auto"/>
              </w:rPr>
              <w:t>HCEV</w:t>
            </w:r>
          </w:p>
        </w:tc>
      </w:tr>
    </w:tbl>
    <w:p w14:paraId="0DDB8976" w14:textId="59EB7EA9" w:rsidR="00313197" w:rsidRPr="003927AE" w:rsidRDefault="00313197" w:rsidP="003927AE"/>
    <w:sectPr w:rsidR="00313197" w:rsidRPr="003927AE"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22951" w14:textId="77777777" w:rsidR="00E439C7" w:rsidRDefault="00E439C7" w:rsidP="00BB532F">
      <w:pPr>
        <w:spacing w:after="0" w:line="240" w:lineRule="auto"/>
      </w:pPr>
      <w:r>
        <w:separator/>
      </w:r>
    </w:p>
  </w:endnote>
  <w:endnote w:type="continuationSeparator" w:id="0">
    <w:p w14:paraId="1D2F5362" w14:textId="77777777" w:rsidR="00E439C7" w:rsidRDefault="00E439C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195FA4E4"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9C063D">
            <w:rPr>
              <w:b/>
              <w:color w:val="928B81"/>
              <w:sz w:val="18"/>
            </w:rPr>
            <w:t>User</w:t>
          </w:r>
          <w:proofErr w:type="gramEnd"/>
          <w:r w:rsidR="009C063D">
            <w:rPr>
              <w:b/>
              <w:color w:val="928B81"/>
              <w:sz w:val="18"/>
            </w:rPr>
            <w:t xml:space="preserve"> Experience Researcher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B16D9" w14:textId="77777777" w:rsidR="00E439C7" w:rsidRDefault="00E439C7" w:rsidP="00BB532F">
      <w:pPr>
        <w:spacing w:after="0" w:line="240" w:lineRule="auto"/>
      </w:pPr>
      <w:r>
        <w:separator/>
      </w:r>
    </w:p>
  </w:footnote>
  <w:footnote w:type="continuationSeparator" w:id="0">
    <w:p w14:paraId="5ABDEF68" w14:textId="77777777" w:rsidR="00E439C7" w:rsidRDefault="00E439C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5A8D44BD" w:rsidR="00935EE2" w:rsidRPr="00935EE2" w:rsidRDefault="009C063D" w:rsidP="001C2248">
          <w:pPr>
            <w:pStyle w:val="TitleSub"/>
            <w:spacing w:after="0"/>
            <w:rPr>
              <w:rFonts w:ascii="Arial" w:hAnsi="Arial" w:cs="Arial"/>
              <w:b/>
            </w:rPr>
          </w:pPr>
          <w:r>
            <w:rPr>
              <w:rFonts w:ascii="Arial" w:hAnsi="Arial" w:cs="Arial"/>
              <w:b/>
            </w:rPr>
            <w:t>User Experience Researcher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1682CD6E"/>
    <w:lvl w:ilvl="0" w:tplc="A31E612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6791C"/>
    <w:multiLevelType w:val="hybridMultilevel"/>
    <w:tmpl w:val="E2F8EBDC"/>
    <w:lvl w:ilvl="0" w:tplc="4E544CA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30B2D"/>
    <w:multiLevelType w:val="hybridMultilevel"/>
    <w:tmpl w:val="DB0E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3201A9"/>
    <w:multiLevelType w:val="hybridMultilevel"/>
    <w:tmpl w:val="EBBE9B86"/>
    <w:lvl w:ilvl="0" w:tplc="4E544CA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62F5126"/>
    <w:multiLevelType w:val="hybridMultilevel"/>
    <w:tmpl w:val="877E74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6"/>
  </w:num>
  <w:num w:numId="4">
    <w:abstractNumId w:val="10"/>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3"/>
  </w:num>
  <w:num w:numId="13">
    <w:abstractNumId w:val="1"/>
  </w:num>
  <w:num w:numId="14">
    <w:abstractNumId w:val="11"/>
  </w:num>
  <w:num w:numId="15">
    <w:abstractNumId w:val="8"/>
  </w:num>
  <w:num w:numId="16">
    <w:abstractNumId w:val="9"/>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51B2"/>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3719"/>
    <w:rsid w:val="0041525E"/>
    <w:rsid w:val="00416D58"/>
    <w:rsid w:val="004203B4"/>
    <w:rsid w:val="00436621"/>
    <w:rsid w:val="00437B80"/>
    <w:rsid w:val="00442732"/>
    <w:rsid w:val="00443BCB"/>
    <w:rsid w:val="0045299A"/>
    <w:rsid w:val="00466287"/>
    <w:rsid w:val="0047547E"/>
    <w:rsid w:val="00477EB1"/>
    <w:rsid w:val="0048681E"/>
    <w:rsid w:val="00492AA6"/>
    <w:rsid w:val="00494CA0"/>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BF4"/>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2D2C"/>
    <w:rsid w:val="009B3103"/>
    <w:rsid w:val="009C063D"/>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96C3A"/>
    <w:rsid w:val="00CA3DE5"/>
    <w:rsid w:val="00CA76B5"/>
    <w:rsid w:val="00CC76F2"/>
    <w:rsid w:val="00CD323E"/>
    <w:rsid w:val="00CE105E"/>
    <w:rsid w:val="00CE1E5E"/>
    <w:rsid w:val="00CF2A85"/>
    <w:rsid w:val="00D312DA"/>
    <w:rsid w:val="00D351CC"/>
    <w:rsid w:val="00D43CDD"/>
    <w:rsid w:val="00D55E55"/>
    <w:rsid w:val="00D6084A"/>
    <w:rsid w:val="00D64165"/>
    <w:rsid w:val="00D663ED"/>
    <w:rsid w:val="00D66BB4"/>
    <w:rsid w:val="00D67A17"/>
    <w:rsid w:val="00D74882"/>
    <w:rsid w:val="00D759EE"/>
    <w:rsid w:val="00D8592C"/>
    <w:rsid w:val="00D956AA"/>
    <w:rsid w:val="00DA45C4"/>
    <w:rsid w:val="00DA543F"/>
    <w:rsid w:val="00DA68D9"/>
    <w:rsid w:val="00DB7774"/>
    <w:rsid w:val="00DC0173"/>
    <w:rsid w:val="00DC11EA"/>
    <w:rsid w:val="00DC4056"/>
    <w:rsid w:val="00DC6FA6"/>
    <w:rsid w:val="00DE2472"/>
    <w:rsid w:val="00DE2854"/>
    <w:rsid w:val="00DE498C"/>
    <w:rsid w:val="00DE58C6"/>
    <w:rsid w:val="00DE6C80"/>
    <w:rsid w:val="00DF1540"/>
    <w:rsid w:val="00DF2209"/>
    <w:rsid w:val="00DF5EB4"/>
    <w:rsid w:val="00E25470"/>
    <w:rsid w:val="00E27471"/>
    <w:rsid w:val="00E310E1"/>
    <w:rsid w:val="00E439C7"/>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51A0E"/>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1"/>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Default">
    <w:name w:val="Default"/>
    <w:rsid w:val="009C063D"/>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5099887">
      <w:bodyDiv w:val="1"/>
      <w:marLeft w:val="0"/>
      <w:marRight w:val="0"/>
      <w:marTop w:val="0"/>
      <w:marBottom w:val="0"/>
      <w:divBdr>
        <w:top w:val="none" w:sz="0" w:space="0" w:color="auto"/>
        <w:left w:val="none" w:sz="0" w:space="0" w:color="auto"/>
        <w:bottom w:val="none" w:sz="0" w:space="0" w:color="auto"/>
        <w:right w:val="none" w:sz="0" w:space="0" w:color="auto"/>
      </w:divBdr>
    </w:div>
    <w:div w:id="269162303">
      <w:bodyDiv w:val="1"/>
      <w:marLeft w:val="0"/>
      <w:marRight w:val="0"/>
      <w:marTop w:val="0"/>
      <w:marBottom w:val="0"/>
      <w:divBdr>
        <w:top w:val="none" w:sz="0" w:space="0" w:color="auto"/>
        <w:left w:val="none" w:sz="0" w:space="0" w:color="auto"/>
        <w:bottom w:val="none" w:sz="0" w:space="0" w:color="auto"/>
        <w:right w:val="none" w:sz="0" w:space="0" w:color="auto"/>
      </w:divBdr>
    </w:div>
    <w:div w:id="347948032">
      <w:bodyDiv w:val="1"/>
      <w:marLeft w:val="0"/>
      <w:marRight w:val="0"/>
      <w:marTop w:val="0"/>
      <w:marBottom w:val="0"/>
      <w:divBdr>
        <w:top w:val="none" w:sz="0" w:space="0" w:color="auto"/>
        <w:left w:val="none" w:sz="0" w:space="0" w:color="auto"/>
        <w:bottom w:val="none" w:sz="0" w:space="0" w:color="auto"/>
        <w:right w:val="none" w:sz="0" w:space="0" w:color="auto"/>
      </w:divBdr>
    </w:div>
    <w:div w:id="364329667">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03000919">
      <w:bodyDiv w:val="1"/>
      <w:marLeft w:val="0"/>
      <w:marRight w:val="0"/>
      <w:marTop w:val="0"/>
      <w:marBottom w:val="0"/>
      <w:divBdr>
        <w:top w:val="none" w:sz="0" w:space="0" w:color="auto"/>
        <w:left w:val="none" w:sz="0" w:space="0" w:color="auto"/>
        <w:bottom w:val="none" w:sz="0" w:space="0" w:color="auto"/>
        <w:right w:val="none" w:sz="0" w:space="0" w:color="auto"/>
      </w:divBdr>
    </w:div>
    <w:div w:id="679621167">
      <w:bodyDiv w:val="1"/>
      <w:marLeft w:val="0"/>
      <w:marRight w:val="0"/>
      <w:marTop w:val="0"/>
      <w:marBottom w:val="0"/>
      <w:divBdr>
        <w:top w:val="none" w:sz="0" w:space="0" w:color="auto"/>
        <w:left w:val="none" w:sz="0" w:space="0" w:color="auto"/>
        <w:bottom w:val="none" w:sz="0" w:space="0" w:color="auto"/>
        <w:right w:val="none" w:sz="0" w:space="0" w:color="auto"/>
      </w:divBdr>
    </w:div>
    <w:div w:id="757602681">
      <w:bodyDiv w:val="1"/>
      <w:marLeft w:val="0"/>
      <w:marRight w:val="0"/>
      <w:marTop w:val="0"/>
      <w:marBottom w:val="0"/>
      <w:divBdr>
        <w:top w:val="none" w:sz="0" w:space="0" w:color="auto"/>
        <w:left w:val="none" w:sz="0" w:space="0" w:color="auto"/>
        <w:bottom w:val="none" w:sz="0" w:space="0" w:color="auto"/>
        <w:right w:val="none" w:sz="0" w:space="0" w:color="auto"/>
      </w:divBdr>
    </w:div>
    <w:div w:id="760688305">
      <w:bodyDiv w:val="1"/>
      <w:marLeft w:val="0"/>
      <w:marRight w:val="0"/>
      <w:marTop w:val="0"/>
      <w:marBottom w:val="0"/>
      <w:divBdr>
        <w:top w:val="none" w:sz="0" w:space="0" w:color="auto"/>
        <w:left w:val="none" w:sz="0" w:space="0" w:color="auto"/>
        <w:bottom w:val="none" w:sz="0" w:space="0" w:color="auto"/>
        <w:right w:val="none" w:sz="0" w:space="0" w:color="auto"/>
      </w:divBdr>
    </w:div>
    <w:div w:id="886112844">
      <w:bodyDiv w:val="1"/>
      <w:marLeft w:val="0"/>
      <w:marRight w:val="0"/>
      <w:marTop w:val="0"/>
      <w:marBottom w:val="0"/>
      <w:divBdr>
        <w:top w:val="none" w:sz="0" w:space="0" w:color="auto"/>
        <w:left w:val="none" w:sz="0" w:space="0" w:color="auto"/>
        <w:bottom w:val="none" w:sz="0" w:space="0" w:color="auto"/>
        <w:right w:val="none" w:sz="0" w:space="0" w:color="auto"/>
      </w:divBdr>
    </w:div>
    <w:div w:id="966937292">
      <w:bodyDiv w:val="1"/>
      <w:marLeft w:val="0"/>
      <w:marRight w:val="0"/>
      <w:marTop w:val="0"/>
      <w:marBottom w:val="0"/>
      <w:divBdr>
        <w:top w:val="none" w:sz="0" w:space="0" w:color="auto"/>
        <w:left w:val="none" w:sz="0" w:space="0" w:color="auto"/>
        <w:bottom w:val="none" w:sz="0" w:space="0" w:color="auto"/>
        <w:right w:val="none" w:sz="0" w:space="0" w:color="auto"/>
      </w:divBdr>
    </w:div>
    <w:div w:id="101773767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58486562">
      <w:bodyDiv w:val="1"/>
      <w:marLeft w:val="0"/>
      <w:marRight w:val="0"/>
      <w:marTop w:val="0"/>
      <w:marBottom w:val="0"/>
      <w:divBdr>
        <w:top w:val="none" w:sz="0" w:space="0" w:color="auto"/>
        <w:left w:val="none" w:sz="0" w:space="0" w:color="auto"/>
        <w:bottom w:val="none" w:sz="0" w:space="0" w:color="auto"/>
        <w:right w:val="none" w:sz="0" w:space="0" w:color="auto"/>
      </w:divBdr>
    </w:div>
    <w:div w:id="2044942461">
      <w:bodyDiv w:val="1"/>
      <w:marLeft w:val="0"/>
      <w:marRight w:val="0"/>
      <w:marTop w:val="0"/>
      <w:marBottom w:val="0"/>
      <w:divBdr>
        <w:top w:val="none" w:sz="0" w:space="0" w:color="auto"/>
        <w:left w:val="none" w:sz="0" w:space="0" w:color="auto"/>
        <w:bottom w:val="none" w:sz="0" w:space="0" w:color="auto"/>
        <w:right w:val="none" w:sz="0" w:space="0" w:color="auto"/>
      </w:divBdr>
    </w:div>
    <w:div w:id="2122524835">
      <w:bodyDiv w:val="1"/>
      <w:marLeft w:val="0"/>
      <w:marRight w:val="0"/>
      <w:marTop w:val="0"/>
      <w:marBottom w:val="0"/>
      <w:divBdr>
        <w:top w:val="none" w:sz="0" w:space="0" w:color="auto"/>
        <w:left w:val="none" w:sz="0" w:space="0" w:color="auto"/>
        <w:bottom w:val="none" w:sz="0" w:space="0" w:color="auto"/>
        <w:right w:val="none" w:sz="0" w:space="0" w:color="auto"/>
      </w:divBdr>
      <w:divsChild>
        <w:div w:id="113779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customXml" Target="/customXML/item3.xml" Id="R0395799d1afb48bd"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A5258084</value>
    </field>
    <field name="Objective-Title">
      <value order="0">User Experience Researcher RD_Clerk Grade 9-10</value>
    </field>
    <field name="Objective-Description">
      <value order="0"/>
    </field>
    <field name="Objective-CreationStamp">
      <value order="0">2021-07-05T04:44:44Z</value>
    </field>
    <field name="Objective-IsApproved">
      <value order="0">false</value>
    </field>
    <field name="Objective-IsPublished">
      <value order="0">true</value>
    </field>
    <field name="Objective-DatePublished">
      <value order="0">2021-07-05T05:03:08Z</value>
    </field>
    <field name="Objective-ModificationStamp">
      <value order="0">2021-07-05T05:03:10Z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vA9007455</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18</TotalTime>
  <Pages>7</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4</cp:revision>
  <dcterms:created xsi:type="dcterms:W3CDTF">2021-07-05T05:44:00Z</dcterms:created>
  <dcterms:modified xsi:type="dcterms:W3CDTF">2021-07-05T06:02:00Z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A5258084</vt:lpwstr>
  </property>
  <property fmtid="{D5CDD505-2E9C-101B-9397-08002B2CF9AE}" pid="4" name="Objective-Title">
    <vt:lpwstr>User Experience Researcher RD_Clerk Grade 9-10</vt:lpwstr>
  </property>
  <property fmtid="{D5CDD505-2E9C-101B-9397-08002B2CF9AE}" pid="5" name="Objective-Description">
    <vt:lpwstr/>
  </property>
  <property fmtid="{D5CDD505-2E9C-101B-9397-08002B2CF9AE}" pid="6" name="Objective-CreationStamp">
    <vt:filetime>2021-07-05T04:44:44Z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2021-07-05T05:03:08Z</vt:filetime>
  </property>
  <property fmtid="{D5CDD505-2E9C-101B-9397-08002B2CF9AE}" pid="10" name="Objective-ModificationStamp">
    <vt:filetime>2021-07-05T05:03:10Z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vA9007455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