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17235A6B" w:rsidR="00801E41" w:rsidRDefault="000E6B34" w:rsidP="00C60D72">
            <w:pPr>
              <w:pStyle w:val="TableTextWhite"/>
            </w:pPr>
            <w:r>
              <w:t xml:space="preserve">Clerk Grade </w:t>
            </w:r>
            <w:r w:rsidRPr="000E6B34">
              <w:t>3</w:t>
            </w:r>
            <w:r>
              <w:t>/</w:t>
            </w:r>
            <w:r w:rsidRPr="000E6B34">
              <w:t>4</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9C92F5E" w:rsidR="00801E41" w:rsidRDefault="00BF615E" w:rsidP="00C60D72">
            <w:pPr>
              <w:pStyle w:val="TableTextWhite"/>
            </w:pPr>
            <w:r w:rsidRPr="00BF615E">
              <w:t>313112</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5F9338B0" w:rsidR="003927AE" w:rsidRDefault="003927AE" w:rsidP="003927AE">
      <w:pPr>
        <w:tabs>
          <w:tab w:val="left" w:pos="2925"/>
        </w:tabs>
        <w:rPr>
          <w:rStyle w:val="Heading1Char"/>
        </w:rPr>
      </w:pPr>
      <w:r w:rsidRPr="00614552">
        <w:rPr>
          <w:rStyle w:val="Heading1Char"/>
        </w:rPr>
        <w:t>Primary purpose of the role</w:t>
      </w:r>
    </w:p>
    <w:p w14:paraId="3F071764" w14:textId="662B15CB" w:rsidR="000E6B34" w:rsidRDefault="00BF615E" w:rsidP="000E6B34">
      <w:pPr>
        <w:spacing w:after="0" w:line="240" w:lineRule="auto"/>
        <w:rPr>
          <w:rFonts w:eastAsia="Times New Roman" w:cs="Arial"/>
          <w:color w:val="000000"/>
          <w:lang w:val="en-AU" w:eastAsia="en-AU"/>
        </w:rPr>
      </w:pPr>
      <w:r w:rsidRPr="00BF615E">
        <w:rPr>
          <w:rFonts w:eastAsia="Times New Roman" w:cs="Arial"/>
          <w:color w:val="000000"/>
          <w:lang w:val="en-AU" w:eastAsia="en-AU"/>
        </w:rPr>
        <w:t xml:space="preserve">The Service Desk &amp; Field Support Coordinator is responsible for providing a wide range of administrative services and coordination support to geographically dispersed teams undertaking service desk and field support activities. The position also assists with activities including resource planning, scheduling, prioritising and work allocations.  </w:t>
      </w:r>
    </w:p>
    <w:p w14:paraId="1DEFF520" w14:textId="77777777" w:rsidR="00BF615E" w:rsidRPr="000E6B34" w:rsidRDefault="00BF615E" w:rsidP="000E6B34">
      <w:pPr>
        <w:spacing w:after="0" w:line="240" w:lineRule="auto"/>
        <w:rPr>
          <w:rStyle w:val="Heading1Char"/>
          <w:rFonts w:ascii="Calibri" w:eastAsia="Times New Roman" w:hAnsi="Calibri" w:cs="Calibri"/>
          <w:b w:val="0"/>
          <w:bCs w:val="0"/>
          <w:color w:val="000000"/>
          <w:kern w:val="0"/>
          <w:sz w:val="16"/>
          <w:szCs w:val="16"/>
          <w:lang w:eastAsia="en-AU"/>
        </w:rPr>
      </w:pP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128C2E7A" w14:textId="77777777"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Deliver a ‘tiered response service for ICT field support or service desk on a flexible basis as assigned in order to listen to, diagnose and resolve recurrent client requests. </w:t>
      </w:r>
    </w:p>
    <w:p w14:paraId="26DFB385" w14:textId="5BEB1668"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 Deliver high levels of customer support and services in order to accurately diagnose issues and provide targeted and successful resolutions.</w:t>
      </w:r>
    </w:p>
    <w:p w14:paraId="6EF6CDCE" w14:textId="25EC8C8D"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Respond to common requests for service by providing information to enable fulfilment. </w:t>
      </w:r>
    </w:p>
    <w:p w14:paraId="0D424589" w14:textId="7000148A"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Promptly allocate unresolved calls/ on site issues in order to deliver customer services that are responsive and timely. </w:t>
      </w:r>
    </w:p>
    <w:p w14:paraId="42724940" w14:textId="3A0B1769"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Update all reports / trackers and initiate follow-up action to ensure a professional level of user support and quality customer service is maintained, and escalate complex incidents (as required) to solve problems within agreed service levels and standards. </w:t>
      </w:r>
    </w:p>
    <w:p w14:paraId="3570E3BC" w14:textId="48BE5CC1"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Provide knowledgeable technical advice and support to staff using available resources to trouble-shoot system issues and support the efficient use of hardware and software. </w:t>
      </w:r>
    </w:p>
    <w:p w14:paraId="46DD61B6" w14:textId="33F2EA92"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Collaborate with geographically dispersed teams and provide support across TAFE NSW locations and services. </w:t>
      </w:r>
    </w:p>
    <w:p w14:paraId="35FA68B9" w14:textId="45E24F07"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Maintain records, inform and update users about the processes and advise customer of actions taken to deliver high levels of customer support and service. </w:t>
      </w:r>
    </w:p>
    <w:p w14:paraId="6290405F" w14:textId="4D0C8243"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Provide knowledgeable advice on the implementation of security standards and procedures for all hardware and software to protect from unauthorised system access, virus infection, vandalism and unauthorised access to TAFE NSW educational and business software. </w:t>
      </w:r>
    </w:p>
    <w:p w14:paraId="53025B12" w14:textId="48E13C0C"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Maintain current knowledge of changing ICT standards and technology to ensure services are compliant. </w:t>
      </w:r>
    </w:p>
    <w:p w14:paraId="1C6CA439" w14:textId="3E7FF57E"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Reflect TAFE NSW’s values in the way you work and abide by policies and procedures to ensure a safe, healthy and inclusive work environment. </w:t>
      </w:r>
    </w:p>
    <w:p w14:paraId="0EE4DAA7" w14:textId="1049400E"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Place the customer at the centre of all decision making. </w:t>
      </w:r>
    </w:p>
    <w:p w14:paraId="7CA4F821" w14:textId="7D7311E0" w:rsid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Work with the Line Manager to develop and review meaningful performance management and development plans. </w:t>
      </w:r>
    </w:p>
    <w:p w14:paraId="5A476608" w14:textId="77777777" w:rsidR="00BF615E" w:rsidRPr="00BF615E" w:rsidRDefault="00BF615E" w:rsidP="00BF615E">
      <w:pPr>
        <w:pStyle w:val="Default"/>
        <w:rPr>
          <w:rFonts w:ascii="Arial" w:hAnsi="Arial" w:cs="Arial"/>
          <w:sz w:val="22"/>
          <w:szCs w:val="22"/>
        </w:rPr>
      </w:pPr>
    </w:p>
    <w:p w14:paraId="7DB3956F" w14:textId="1FDB63D6" w:rsidR="00BF615E" w:rsidRDefault="00BF615E" w:rsidP="003927AE">
      <w:pPr>
        <w:tabs>
          <w:tab w:val="left" w:pos="2925"/>
        </w:tabs>
        <w:rPr>
          <w:rStyle w:val="Heading1Char"/>
          <w:sz w:val="28"/>
          <w:szCs w:val="36"/>
        </w:rPr>
      </w:pPr>
    </w:p>
    <w:p w14:paraId="3E91D52B" w14:textId="77777777" w:rsidR="00BF615E" w:rsidRPr="00BF615E" w:rsidRDefault="00BF615E" w:rsidP="003927AE">
      <w:pPr>
        <w:tabs>
          <w:tab w:val="left" w:pos="2925"/>
        </w:tabs>
        <w:rPr>
          <w:rStyle w:val="Heading1Char"/>
          <w:sz w:val="28"/>
          <w:szCs w:val="36"/>
        </w:rPr>
      </w:pPr>
    </w:p>
    <w:p w14:paraId="307C75E8" w14:textId="21432F5D" w:rsidR="003927AE" w:rsidRDefault="003927AE" w:rsidP="003927AE">
      <w:pPr>
        <w:tabs>
          <w:tab w:val="left" w:pos="2925"/>
        </w:tabs>
        <w:rPr>
          <w:rStyle w:val="Heading1Char"/>
        </w:rPr>
      </w:pPr>
      <w:r w:rsidRPr="00614552">
        <w:rPr>
          <w:rStyle w:val="Heading1Char"/>
        </w:rPr>
        <w:t>Key challenges</w:t>
      </w:r>
    </w:p>
    <w:p w14:paraId="2BA94D8F" w14:textId="77777777"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Responding to regular and recurrent (and where required complex) ICT support requests in order to ensure timely and appropriate interventions. </w:t>
      </w:r>
    </w:p>
    <w:p w14:paraId="19113015" w14:textId="2C5C28BB"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Receiving requests from a broad range of clients and listening and responding effectively to their individual needs. </w:t>
      </w:r>
    </w:p>
    <w:p w14:paraId="436E53E5" w14:textId="06CBD27F"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Demonstrating high levels of telephone customer service and understanding of site support processes to ensure that responsive support for the customer drives business operations. </w:t>
      </w:r>
    </w:p>
    <w:p w14:paraId="7A954FDB" w14:textId="3DADE35F"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Supporting clients who may not be conversant with ICT jargon in order to clearly identify and respond to requests. </w:t>
      </w:r>
    </w:p>
    <w:p w14:paraId="4D257254" w14:textId="259E187F" w:rsidR="00BF615E" w:rsidRPr="00BF615E" w:rsidRDefault="00BF615E" w:rsidP="00BF615E">
      <w:pPr>
        <w:pStyle w:val="Default"/>
        <w:numPr>
          <w:ilvl w:val="0"/>
          <w:numId w:val="14"/>
        </w:numPr>
        <w:spacing w:line="276" w:lineRule="auto"/>
        <w:rPr>
          <w:rFonts w:ascii="Arial" w:hAnsi="Arial" w:cs="Arial"/>
          <w:sz w:val="22"/>
          <w:szCs w:val="22"/>
        </w:rPr>
      </w:pPr>
      <w:r w:rsidRPr="00BF615E">
        <w:rPr>
          <w:rFonts w:ascii="Arial" w:hAnsi="Arial" w:cs="Arial"/>
          <w:sz w:val="22"/>
          <w:szCs w:val="22"/>
        </w:rPr>
        <w:t xml:space="preserve">Collaborating closely with users and other members of the ICT Service Delivery team to quickly identify and resolve incidents and problems. </w:t>
      </w:r>
    </w:p>
    <w:p w14:paraId="297CBD4E" w14:textId="77777777" w:rsidR="00BF615E" w:rsidRPr="00614552" w:rsidRDefault="00BF615E" w:rsidP="003927AE">
      <w:pPr>
        <w:tabs>
          <w:tab w:val="left" w:pos="2925"/>
        </w:tabs>
        <w:rPr>
          <w:rStyle w:val="Heading1Char"/>
        </w:rPr>
      </w:pP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BF615E" w:rsidRDefault="003927AE" w:rsidP="00A72C86">
            <w:pPr>
              <w:pStyle w:val="TableText"/>
            </w:pPr>
            <w:r w:rsidRPr="00BF615E">
              <w:t>Manager</w:t>
            </w:r>
          </w:p>
        </w:tc>
        <w:tc>
          <w:tcPr>
            <w:tcW w:w="7256" w:type="dxa"/>
            <w:tcBorders>
              <w:top w:val="single" w:sz="8" w:space="0" w:color="auto"/>
              <w:bottom w:val="single" w:sz="8" w:space="0" w:color="BCBEC0"/>
            </w:tcBorders>
          </w:tcPr>
          <w:p w14:paraId="432B96D8" w14:textId="77777777" w:rsidR="00BF615E" w:rsidRDefault="00BF615E" w:rsidP="00BF615E">
            <w:pPr>
              <w:pStyle w:val="TableText"/>
              <w:numPr>
                <w:ilvl w:val="0"/>
                <w:numId w:val="3"/>
              </w:numPr>
            </w:pPr>
            <w:r>
              <w:t>Receive leadership, direction and support.</w:t>
            </w:r>
          </w:p>
          <w:p w14:paraId="7A46C7BA" w14:textId="76C52557" w:rsidR="00BF615E" w:rsidRDefault="00BF615E" w:rsidP="00BF615E">
            <w:pPr>
              <w:pStyle w:val="TableText"/>
              <w:numPr>
                <w:ilvl w:val="0"/>
                <w:numId w:val="3"/>
              </w:numPr>
            </w:pPr>
            <w:r>
              <w:t>Identify and alert when timeframes may be in jeopardy.</w:t>
            </w:r>
          </w:p>
          <w:p w14:paraId="2F56547D" w14:textId="34F61848" w:rsidR="003927AE" w:rsidRPr="00A15CDB" w:rsidRDefault="00BF615E" w:rsidP="00BF615E">
            <w:pPr>
              <w:pStyle w:val="TableText"/>
              <w:numPr>
                <w:ilvl w:val="0"/>
                <w:numId w:val="3"/>
              </w:numPr>
            </w:pPr>
            <w:r>
              <w:t>Regularly report on issues arising impacting on services delivery</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BF615E" w:rsidRDefault="003927AE" w:rsidP="00A72C86">
            <w:pPr>
              <w:pStyle w:val="TableText"/>
            </w:pPr>
            <w:r w:rsidRPr="00BF615E">
              <w:t xml:space="preserve">Work </w:t>
            </w:r>
            <w:r w:rsidR="002805EE" w:rsidRPr="00BF615E">
              <w:t>T</w:t>
            </w:r>
            <w:r w:rsidRPr="00BF615E">
              <w:t>eam</w:t>
            </w:r>
          </w:p>
        </w:tc>
        <w:tc>
          <w:tcPr>
            <w:tcW w:w="7256" w:type="dxa"/>
            <w:tcBorders>
              <w:top w:val="single" w:sz="8" w:space="0" w:color="auto"/>
              <w:bottom w:val="single" w:sz="8" w:space="0" w:color="BCBEC0"/>
            </w:tcBorders>
          </w:tcPr>
          <w:p w14:paraId="0D227A2F" w14:textId="77777777" w:rsidR="00BF615E" w:rsidRDefault="00BF615E" w:rsidP="00BF615E">
            <w:pPr>
              <w:pStyle w:val="TableText"/>
              <w:numPr>
                <w:ilvl w:val="0"/>
                <w:numId w:val="3"/>
              </w:numPr>
            </w:pPr>
            <w:r>
              <w:t>Support team and work collaboratively to contribute to achieving the team’s business outcomes.</w:t>
            </w:r>
          </w:p>
          <w:p w14:paraId="7EB614AB" w14:textId="184D22F1" w:rsidR="00BF615E" w:rsidRDefault="00BF615E" w:rsidP="00BF615E">
            <w:pPr>
              <w:pStyle w:val="TableText"/>
              <w:numPr>
                <w:ilvl w:val="0"/>
                <w:numId w:val="3"/>
              </w:numPr>
            </w:pPr>
            <w:r>
              <w:t xml:space="preserve">Provide collegiate support to service desk and field support team </w:t>
            </w:r>
            <w:r w:rsidR="00320256">
              <w:t>members.</w:t>
            </w:r>
          </w:p>
          <w:p w14:paraId="2A43F2C7" w14:textId="741E5065" w:rsidR="00BF615E" w:rsidRDefault="00BF615E" w:rsidP="00BF615E">
            <w:pPr>
              <w:pStyle w:val="TableText"/>
              <w:numPr>
                <w:ilvl w:val="0"/>
                <w:numId w:val="3"/>
              </w:numPr>
            </w:pPr>
            <w:r>
              <w:t>Participate in meetings to represent work group perspective and share information.</w:t>
            </w:r>
          </w:p>
          <w:p w14:paraId="4B53CC58" w14:textId="5EE8A602" w:rsidR="003927AE" w:rsidRPr="00A15CDB" w:rsidRDefault="00BF615E" w:rsidP="00BF615E">
            <w:pPr>
              <w:pStyle w:val="TableText"/>
              <w:numPr>
                <w:ilvl w:val="0"/>
                <w:numId w:val="3"/>
              </w:numPr>
            </w:pPr>
            <w:r>
              <w:t>Contribute in discussions and decisions regarding implementation of innovation and best practice.</w:t>
            </w:r>
          </w:p>
        </w:tc>
      </w:tr>
      <w:tr w:rsidR="00320256" w:rsidRPr="00C978B9" w14:paraId="7912FD1D" w14:textId="77777777" w:rsidTr="00E55704">
        <w:tc>
          <w:tcPr>
            <w:tcW w:w="3601" w:type="dxa"/>
            <w:tcBorders>
              <w:top w:val="single" w:sz="8" w:space="0" w:color="auto"/>
              <w:bottom w:val="single" w:sz="8" w:space="0" w:color="BCBEC0"/>
            </w:tcBorders>
          </w:tcPr>
          <w:p w14:paraId="0363C605" w14:textId="7331AE38" w:rsidR="00320256" w:rsidRPr="00BF615E" w:rsidRDefault="00320256" w:rsidP="00320256">
            <w:pPr>
              <w:pStyle w:val="TableText"/>
            </w:pPr>
            <w:r>
              <w:t xml:space="preserve">Clients </w:t>
            </w:r>
          </w:p>
        </w:tc>
        <w:tc>
          <w:tcPr>
            <w:tcW w:w="7256" w:type="dxa"/>
            <w:tcBorders>
              <w:top w:val="single" w:sz="8" w:space="0" w:color="auto"/>
              <w:bottom w:val="single" w:sz="8" w:space="0" w:color="BCBEC0"/>
            </w:tcBorders>
          </w:tcPr>
          <w:p w14:paraId="25B05754" w14:textId="22DD9629" w:rsidR="00320256" w:rsidRDefault="00320256" w:rsidP="00320256">
            <w:pPr>
              <w:pStyle w:val="TableText"/>
              <w:numPr>
                <w:ilvl w:val="0"/>
                <w:numId w:val="3"/>
              </w:numPr>
            </w:pPr>
            <w:r w:rsidRPr="00BF615E">
              <w:t>Receive a range of ICT requests for support and assistance and develop and deliver robust and durable resolutions.</w:t>
            </w:r>
          </w:p>
        </w:tc>
      </w:tr>
      <w:tr w:rsidR="003927AE" w:rsidRPr="00A8245E" w14:paraId="3B55100D" w14:textId="77777777" w:rsidTr="00E55704">
        <w:tc>
          <w:tcPr>
            <w:tcW w:w="3601" w:type="dxa"/>
            <w:shd w:val="clear" w:color="auto" w:fill="BCBEC0"/>
          </w:tcPr>
          <w:p w14:paraId="6CA1A5C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BF615E" w:rsidRPr="00C978B9" w14:paraId="07FA80DA" w14:textId="77777777" w:rsidTr="00E55704">
        <w:tc>
          <w:tcPr>
            <w:tcW w:w="3601" w:type="dxa"/>
            <w:tcBorders>
              <w:top w:val="single" w:sz="8" w:space="0" w:color="auto"/>
              <w:bottom w:val="single" w:sz="8" w:space="0" w:color="BCBEC0"/>
            </w:tcBorders>
          </w:tcPr>
          <w:p w14:paraId="72192A8F" w14:textId="77777777" w:rsidR="00BF615E" w:rsidRDefault="00BF615E" w:rsidP="00BF615E">
            <w:pPr>
              <w:pStyle w:val="Default"/>
            </w:pPr>
            <w:r>
              <w:rPr>
                <w:sz w:val="20"/>
                <w:szCs w:val="20"/>
              </w:rPr>
              <w:t xml:space="preserve">Vendors / stakeholders </w:t>
            </w:r>
          </w:p>
          <w:p w14:paraId="4A15ADB0" w14:textId="77777777" w:rsidR="00BF615E" w:rsidRDefault="00BF615E" w:rsidP="00A72C86">
            <w:pPr>
              <w:pStyle w:val="TableText"/>
            </w:pPr>
          </w:p>
        </w:tc>
        <w:tc>
          <w:tcPr>
            <w:tcW w:w="7256" w:type="dxa"/>
            <w:tcBorders>
              <w:top w:val="single" w:sz="8" w:space="0" w:color="auto"/>
              <w:bottom w:val="single" w:sz="8" w:space="0" w:color="BCBEC0"/>
            </w:tcBorders>
          </w:tcPr>
          <w:p w14:paraId="46DFFECB" w14:textId="4CAD35A2" w:rsidR="00BF615E" w:rsidRDefault="00BF615E" w:rsidP="00BF615E">
            <w:pPr>
              <w:pStyle w:val="TableText"/>
              <w:numPr>
                <w:ilvl w:val="0"/>
                <w:numId w:val="3"/>
              </w:numPr>
            </w:pPr>
            <w:r>
              <w:t xml:space="preserve">Develop and maintain </w:t>
            </w:r>
            <w:r w:rsidR="00320256">
              <w:t>business-based</w:t>
            </w:r>
            <w:r>
              <w:t xml:space="preserve"> relationships.</w:t>
            </w:r>
          </w:p>
          <w:p w14:paraId="1A3E7A5B" w14:textId="05A1E65F" w:rsidR="00BF615E" w:rsidRDefault="00BF615E" w:rsidP="00BF615E">
            <w:pPr>
              <w:pStyle w:val="TableText"/>
              <w:numPr>
                <w:ilvl w:val="0"/>
                <w:numId w:val="3"/>
              </w:numPr>
            </w:pPr>
            <w:r>
              <w:t>Resolve issues and provide durable solutions.</w:t>
            </w:r>
          </w:p>
          <w:p w14:paraId="3CB507D6" w14:textId="02D6BF42" w:rsidR="00BF615E" w:rsidRPr="00BF615E" w:rsidRDefault="00BF615E" w:rsidP="00BF615E">
            <w:pPr>
              <w:pStyle w:val="TableText"/>
              <w:numPr>
                <w:ilvl w:val="0"/>
                <w:numId w:val="3"/>
              </w:numPr>
            </w:pPr>
            <w:r>
              <w:t>Provide information regarding rules and standards.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588F5A2D" w14:textId="77777777" w:rsidR="00BF615E" w:rsidRPr="00BF615E" w:rsidRDefault="00BF615E" w:rsidP="00BF615E">
      <w:pPr>
        <w:pStyle w:val="ListParagraph"/>
        <w:numPr>
          <w:ilvl w:val="0"/>
          <w:numId w:val="12"/>
        </w:numPr>
        <w:tabs>
          <w:tab w:val="left" w:pos="2925"/>
        </w:tabs>
        <w:rPr>
          <w:rFonts w:cs="Arial"/>
        </w:rPr>
      </w:pPr>
      <w:r w:rsidRPr="00BF615E">
        <w:rPr>
          <w:rFonts w:cs="Arial"/>
        </w:rPr>
        <w:t>Makes decisions that may have a minor impact externally within defined parameters and based on sound subject matter knowledge and professional judgment.</w:t>
      </w:r>
    </w:p>
    <w:p w14:paraId="4AA2B6AE" w14:textId="4A0111C3" w:rsidR="00BF615E" w:rsidRPr="00BF615E" w:rsidRDefault="00BF615E" w:rsidP="00BF615E">
      <w:pPr>
        <w:pStyle w:val="ListParagraph"/>
        <w:numPr>
          <w:ilvl w:val="0"/>
          <w:numId w:val="12"/>
        </w:numPr>
        <w:tabs>
          <w:tab w:val="left" w:pos="2925"/>
        </w:tabs>
        <w:rPr>
          <w:rFonts w:cs="Arial"/>
        </w:rPr>
      </w:pPr>
      <w:r w:rsidRPr="00BF615E">
        <w:rPr>
          <w:rFonts w:cs="Arial"/>
        </w:rPr>
        <w:t>Matters requiring a higher level of approval are referred to the Reporting Line Manager.</w:t>
      </w:r>
    </w:p>
    <w:p w14:paraId="2B50B642" w14:textId="609EE421" w:rsidR="003927AE" w:rsidRPr="00614552" w:rsidRDefault="003927AE" w:rsidP="00BF615E">
      <w:pPr>
        <w:pStyle w:val="Heading2"/>
      </w:pPr>
      <w:r w:rsidRPr="00614552">
        <w:lastRenderedPageBreak/>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003F159C" w:rsidR="003927AE" w:rsidRPr="00BF615E" w:rsidRDefault="00BF615E" w:rsidP="003927AE">
      <w:pPr>
        <w:rPr>
          <w:rFonts w:cs="Arial"/>
          <w:szCs w:val="26"/>
        </w:rPr>
      </w:pPr>
      <w:r>
        <w:rPr>
          <w:rFonts w:cs="Arial"/>
          <w:szCs w:val="26"/>
        </w:rPr>
        <w:t>Nil</w:t>
      </w:r>
    </w:p>
    <w:p w14:paraId="31690284" w14:textId="77777777" w:rsidR="003927AE" w:rsidRPr="00614552" w:rsidRDefault="003927AE" w:rsidP="003927AE">
      <w:pPr>
        <w:pStyle w:val="Heading2"/>
      </w:pPr>
      <w:r w:rsidRPr="00614552">
        <w:t>Budget/Expenditure</w:t>
      </w:r>
    </w:p>
    <w:p w14:paraId="24926130" w14:textId="5BBB70A7" w:rsidR="003927AE" w:rsidRDefault="00BF615E" w:rsidP="003927AE">
      <w:pPr>
        <w:rPr>
          <w:rFonts w:cs="Arial"/>
          <w:szCs w:val="26"/>
        </w:rPr>
      </w:pPr>
      <w:r>
        <w:rPr>
          <w:rFonts w:cs="Arial"/>
          <w:szCs w:val="26"/>
        </w:rPr>
        <w:t>Nil</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911" w:type="dxa"/>
        <w:tblLook w:val="04A0" w:firstRow="1" w:lastRow="0" w:firstColumn="1" w:lastColumn="0" w:noHBand="0" w:noVBand="1"/>
        <w:tblCaption w:val="PSC_FocusCapabilityFrameworkTable"/>
      </w:tblPr>
      <w:tblGrid>
        <w:gridCol w:w="1566"/>
        <w:gridCol w:w="1973"/>
        <w:gridCol w:w="5971"/>
        <w:gridCol w:w="1401"/>
      </w:tblGrid>
      <w:tr w:rsidR="00847160" w14:paraId="20A8739A" w14:textId="77777777" w:rsidTr="003B3A93">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911"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AA42E2">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66"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973"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971"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401"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AA42E2">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66" w:type="dxa"/>
            <w:tcBorders>
              <w:top w:val="single" w:sz="18" w:space="0" w:color="auto"/>
              <w:left w:val="single" w:sz="8" w:space="0" w:color="FFFFFF" w:themeColor="background1"/>
              <w:bottom w:val="single" w:sz="8" w:space="0" w:color="D9D9D9" w:themeColor="background1" w:themeShade="D9"/>
            </w:tcBorders>
          </w:tcPr>
          <w:p w14:paraId="5A9498F1" w14:textId="37A8EB29" w:rsidR="00847160" w:rsidRDefault="00AA42E2" w:rsidP="00F92DBC">
            <w:r w:rsidRPr="00C978B9">
              <w:rPr>
                <w:noProof/>
                <w:lang w:eastAsia="en-AU"/>
              </w:rPr>
              <w:drawing>
                <wp:inline distT="0" distB="0" distL="0" distR="0" wp14:anchorId="66525EA1" wp14:editId="0105456C">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973" w:type="dxa"/>
            <w:tcBorders>
              <w:top w:val="single" w:sz="18" w:space="0" w:color="auto"/>
              <w:bottom w:val="single" w:sz="8" w:space="0" w:color="D9D9D9" w:themeColor="background1" w:themeShade="D9"/>
            </w:tcBorders>
          </w:tcPr>
          <w:p w14:paraId="016E1B10" w14:textId="77777777" w:rsidR="00847160" w:rsidRPr="00320256" w:rsidRDefault="00320256" w:rsidP="0032025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0256">
              <w:rPr>
                <w:rFonts w:ascii="Arial" w:hAnsi="Arial" w:cs="Arial"/>
                <w:b/>
                <w:bCs/>
                <w:sz w:val="20"/>
                <w:szCs w:val="20"/>
              </w:rPr>
              <w:t xml:space="preserve">Manage Self </w:t>
            </w:r>
            <w:r w:rsidR="00BF615E" w:rsidRPr="00320256">
              <w:rPr>
                <w:rFonts w:ascii="Arial" w:hAnsi="Arial" w:cs="Arial"/>
                <w:b/>
                <w:bCs/>
                <w:sz w:val="20"/>
                <w:szCs w:val="20"/>
              </w:rPr>
              <w:t xml:space="preserve"> </w:t>
            </w:r>
          </w:p>
          <w:p w14:paraId="1A27B610" w14:textId="77777777" w:rsidR="00320256" w:rsidRPr="00320256" w:rsidRDefault="00320256" w:rsidP="0032025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0256">
              <w:rPr>
                <w:rFonts w:ascii="Arial" w:hAnsi="Arial" w:cs="Arial"/>
                <w:sz w:val="20"/>
                <w:szCs w:val="20"/>
              </w:rPr>
              <w:t>Show drive and motivation, an ability to self-reflect and a commitment to learning</w:t>
            </w:r>
          </w:p>
          <w:p w14:paraId="11BC3E14" w14:textId="2DD9390B" w:rsidR="00320256" w:rsidRDefault="00320256" w:rsidP="00F92DBC">
            <w:pPr>
              <w:cnfStyle w:val="000000100000" w:firstRow="0" w:lastRow="0" w:firstColumn="0" w:lastColumn="0" w:oddVBand="0" w:evenVBand="0" w:oddHBand="1" w:evenHBand="0" w:firstRowFirstColumn="0" w:firstRowLastColumn="0" w:lastRowFirstColumn="0" w:lastRowLastColumn="0"/>
            </w:pPr>
          </w:p>
        </w:tc>
        <w:tc>
          <w:tcPr>
            <w:tcW w:w="5971" w:type="dxa"/>
            <w:tcBorders>
              <w:top w:val="single" w:sz="18" w:space="0" w:color="auto"/>
              <w:bottom w:val="single" w:sz="8" w:space="0" w:color="D9D9D9" w:themeColor="background1" w:themeShade="D9"/>
            </w:tcBorders>
          </w:tcPr>
          <w:p w14:paraId="7D5C4BB6" w14:textId="77777777" w:rsidR="00AA42E2" w:rsidRDefault="00AA42E2" w:rsidP="003B3A93">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AA42E2">
              <w:rPr>
                <w:rFonts w:ascii="Arial" w:hAnsi="Arial" w:cs="Times New Roman"/>
                <w:sz w:val="20"/>
                <w:szCs w:val="20"/>
              </w:rPr>
              <w:t>Adapt existing skills to new situations</w:t>
            </w:r>
            <w:r w:rsidRPr="00AA42E2">
              <w:rPr>
                <w:rFonts w:ascii="Arial" w:hAnsi="Arial" w:cs="Times New Roman"/>
                <w:sz w:val="20"/>
                <w:szCs w:val="20"/>
              </w:rPr>
              <w:tab/>
            </w:r>
          </w:p>
          <w:p w14:paraId="787BB1F7" w14:textId="77777777" w:rsidR="00AA42E2" w:rsidRDefault="00AA42E2"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AA42E2">
              <w:rPr>
                <w:rFonts w:ascii="Arial" w:hAnsi="Arial" w:cs="Times New Roman"/>
                <w:sz w:val="20"/>
                <w:szCs w:val="20"/>
              </w:rPr>
              <w:t>Show commitment to achieving work goals</w:t>
            </w:r>
            <w:r w:rsidRPr="00AA42E2">
              <w:rPr>
                <w:rFonts w:ascii="Arial" w:hAnsi="Arial" w:cs="Times New Roman"/>
                <w:sz w:val="20"/>
                <w:szCs w:val="20"/>
              </w:rPr>
              <w:tab/>
            </w:r>
          </w:p>
          <w:p w14:paraId="4951CFCE" w14:textId="77777777" w:rsidR="003B3A93" w:rsidRDefault="00AA42E2"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AA42E2">
              <w:rPr>
                <w:rFonts w:ascii="Arial" w:hAnsi="Arial" w:cs="Times New Roman"/>
                <w:sz w:val="20"/>
                <w:szCs w:val="20"/>
              </w:rPr>
              <w:t>Show awareness of own strengths and areas for growth, and develop and apply new skills</w:t>
            </w:r>
            <w:r w:rsidRPr="00AA42E2">
              <w:rPr>
                <w:rFonts w:ascii="Arial" w:hAnsi="Arial" w:cs="Times New Roman"/>
                <w:sz w:val="20"/>
                <w:szCs w:val="20"/>
              </w:rPr>
              <w:tab/>
            </w:r>
          </w:p>
          <w:p w14:paraId="5F2DA01B" w14:textId="77777777" w:rsidR="003B3A93" w:rsidRDefault="00AA42E2"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AA42E2">
              <w:rPr>
                <w:rFonts w:ascii="Arial" w:hAnsi="Arial" w:cs="Times New Roman"/>
                <w:sz w:val="20"/>
                <w:szCs w:val="20"/>
              </w:rPr>
              <w:t>Seek feedback from colleagues and stakeholders</w:t>
            </w:r>
            <w:r w:rsidRPr="00AA42E2">
              <w:rPr>
                <w:rFonts w:ascii="Arial" w:hAnsi="Arial" w:cs="Times New Roman"/>
                <w:sz w:val="20"/>
                <w:szCs w:val="20"/>
              </w:rPr>
              <w:tab/>
            </w:r>
          </w:p>
          <w:p w14:paraId="4A21A140" w14:textId="629DEA2D" w:rsidR="00847160" w:rsidRPr="0080536B" w:rsidRDefault="00AA42E2"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AA42E2">
              <w:rPr>
                <w:rFonts w:ascii="Arial" w:hAnsi="Arial" w:cs="Times New Roman"/>
                <w:sz w:val="20"/>
                <w:szCs w:val="20"/>
              </w:rPr>
              <w:t>Stay motivated when tasks become difficult</w:t>
            </w:r>
            <w:r w:rsidRPr="00AA42E2">
              <w:rPr>
                <w:rFonts w:ascii="Arial" w:hAnsi="Arial" w:cs="Times New Roman"/>
                <w:sz w:val="20"/>
                <w:szCs w:val="20"/>
              </w:rPr>
              <w:tab/>
            </w:r>
          </w:p>
        </w:tc>
        <w:tc>
          <w:tcPr>
            <w:tcW w:w="1401" w:type="dxa"/>
            <w:tcBorders>
              <w:top w:val="single" w:sz="18" w:space="0" w:color="auto"/>
              <w:bottom w:val="single" w:sz="8" w:space="0" w:color="D9D9D9" w:themeColor="background1" w:themeShade="D9"/>
              <w:right w:val="single" w:sz="8" w:space="0" w:color="FFFFFF" w:themeColor="background1"/>
            </w:tcBorders>
          </w:tcPr>
          <w:p w14:paraId="0733E301" w14:textId="46DC5452" w:rsidR="00847160" w:rsidRDefault="00BF615E" w:rsidP="003B3A93">
            <w:pPr>
              <w:spacing w:before="120"/>
              <w:cnfStyle w:val="000000100000" w:firstRow="0" w:lastRow="0" w:firstColumn="0" w:lastColumn="0" w:oddVBand="0" w:evenVBand="0" w:oddHBand="1" w:evenHBand="0" w:firstRowFirstColumn="0" w:firstRowLastColumn="0" w:lastRowFirstColumn="0" w:lastRowLastColumn="0"/>
            </w:pPr>
            <w:r>
              <w:t>Intermediate</w:t>
            </w:r>
          </w:p>
        </w:tc>
      </w:tr>
      <w:tr w:rsidR="00AA42E2" w14:paraId="0E9389A9" w14:textId="77777777" w:rsidTr="00AA42E2">
        <w:trPr>
          <w:trHeight w:val="16"/>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29D5401E" w14:textId="57BF547E" w:rsidR="00AA42E2" w:rsidRDefault="00AA42E2" w:rsidP="00AA42E2">
            <w:r w:rsidRPr="00C978B9">
              <w:rPr>
                <w:noProof/>
                <w:lang w:eastAsia="en-AU"/>
              </w:rPr>
              <w:drawing>
                <wp:inline distT="0" distB="0" distL="0" distR="0" wp14:anchorId="621958B6" wp14:editId="016D3063">
                  <wp:extent cx="854016" cy="854016"/>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973" w:type="dxa"/>
            <w:tcBorders>
              <w:top w:val="single" w:sz="8" w:space="0" w:color="D9D9D9" w:themeColor="background1" w:themeShade="D9"/>
              <w:bottom w:val="single" w:sz="8" w:space="0" w:color="D9D9D9" w:themeColor="background1" w:themeShade="D9"/>
            </w:tcBorders>
          </w:tcPr>
          <w:p w14:paraId="14C159E4" w14:textId="77777777" w:rsidR="00AA42E2" w:rsidRPr="00392113" w:rsidRDefault="00AA42E2" w:rsidP="00AA42E2">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 xml:space="preserve">Commit to Customer </w:t>
            </w:r>
            <w:r w:rsidRPr="00AA42E2">
              <w:rPr>
                <w:rFonts w:ascii="Arial" w:eastAsiaTheme="minorEastAsia" w:hAnsi="Arial" w:cs="Arial"/>
                <w:b/>
                <w:bCs/>
                <w:sz w:val="20"/>
                <w:szCs w:val="20"/>
                <w:lang w:val="en-US"/>
              </w:rPr>
              <w:t>Service</w:t>
            </w:r>
          </w:p>
          <w:p w14:paraId="75097C1D" w14:textId="61DEE5C6" w:rsidR="00AA42E2" w:rsidRDefault="00AA42E2" w:rsidP="00AA42E2">
            <w:pPr>
              <w:spacing w:before="120" w:line="276" w:lineRule="auto"/>
              <w:cnfStyle w:val="000000000000" w:firstRow="0" w:lastRow="0" w:firstColumn="0" w:lastColumn="0" w:oddVBand="0" w:evenVBand="0" w:oddHBand="0" w:evenHBand="0" w:firstRowFirstColumn="0" w:firstRowLastColumn="0" w:lastRowFirstColumn="0" w:lastRowLastColumn="0"/>
            </w:pPr>
            <w:r w:rsidRPr="00392113">
              <w:rPr>
                <w:rFonts w:ascii="Arial" w:hAnsi="Arial" w:cs="Arial"/>
                <w:sz w:val="20"/>
                <w:szCs w:val="20"/>
              </w:rPr>
              <w:t>Provide customer-focused services in line with public sector and organisational objectives</w:t>
            </w:r>
          </w:p>
        </w:tc>
        <w:tc>
          <w:tcPr>
            <w:tcW w:w="5971" w:type="dxa"/>
            <w:tcBorders>
              <w:top w:val="single" w:sz="8" w:space="0" w:color="D9D9D9" w:themeColor="background1" w:themeShade="D9"/>
              <w:bottom w:val="single" w:sz="8" w:space="0" w:color="D9D9D9" w:themeColor="background1" w:themeShade="D9"/>
            </w:tcBorders>
          </w:tcPr>
          <w:p w14:paraId="6193D99A" w14:textId="77777777" w:rsidR="003B3A93" w:rsidRDefault="003B3A93" w:rsidP="003B3A93">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Focus on providing a positive customer experience</w:t>
            </w:r>
            <w:r w:rsidRPr="003B3A93">
              <w:rPr>
                <w:rFonts w:ascii="Arial" w:hAnsi="Arial" w:cs="Times New Roman"/>
                <w:sz w:val="20"/>
                <w:szCs w:val="20"/>
              </w:rPr>
              <w:tab/>
            </w:r>
          </w:p>
          <w:p w14:paraId="0E17F612" w14:textId="77777777" w:rsidR="003B3A93" w:rsidRDefault="003B3A93" w:rsidP="001E1C69">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Support a customer-focused culture in the organisation</w:t>
            </w:r>
          </w:p>
          <w:p w14:paraId="7B25C2DB" w14:textId="46ED0650" w:rsidR="003B3A93" w:rsidRPr="003B3A93" w:rsidRDefault="003B3A93" w:rsidP="001E1C69">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Demonstrate a thorough knowledge of the services provided and relay this knowledge to customers</w:t>
            </w:r>
            <w:r w:rsidRPr="003B3A93">
              <w:rPr>
                <w:rFonts w:ascii="Arial" w:hAnsi="Arial" w:cs="Times New Roman"/>
                <w:sz w:val="20"/>
                <w:szCs w:val="20"/>
              </w:rPr>
              <w:tab/>
            </w:r>
          </w:p>
          <w:p w14:paraId="16249DB1" w14:textId="77777777" w:rsidR="003B3A93"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Identify and respond quickly to customer needs</w:t>
            </w:r>
            <w:r w:rsidRPr="003B3A93">
              <w:rPr>
                <w:rFonts w:ascii="Arial" w:hAnsi="Arial" w:cs="Times New Roman"/>
                <w:sz w:val="20"/>
                <w:szCs w:val="20"/>
              </w:rPr>
              <w:tab/>
            </w:r>
          </w:p>
          <w:p w14:paraId="5BFDF622" w14:textId="77777777" w:rsidR="003B3A93"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Consider customer service requirements and develop solutions to meet needs</w:t>
            </w:r>
            <w:r w:rsidRPr="003B3A93">
              <w:rPr>
                <w:rFonts w:ascii="Arial" w:hAnsi="Arial" w:cs="Times New Roman"/>
                <w:sz w:val="20"/>
                <w:szCs w:val="20"/>
              </w:rPr>
              <w:tab/>
            </w:r>
          </w:p>
          <w:p w14:paraId="5CF97FF0" w14:textId="77777777" w:rsidR="003B3A93"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Resolve complex customer issues and needs</w:t>
            </w:r>
            <w:r w:rsidRPr="003B3A93">
              <w:rPr>
                <w:rFonts w:ascii="Arial" w:hAnsi="Arial" w:cs="Times New Roman"/>
                <w:sz w:val="20"/>
                <w:szCs w:val="20"/>
              </w:rPr>
              <w:tab/>
            </w:r>
          </w:p>
          <w:p w14:paraId="4755B4B8" w14:textId="38D84C72" w:rsidR="00AA42E2" w:rsidRPr="0080536B"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lastRenderedPageBreak/>
              <w:t>Cooperate across work areas to improve outcomes for customers</w:t>
            </w:r>
          </w:p>
        </w:tc>
        <w:tc>
          <w:tcPr>
            <w:tcW w:w="1401"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1E8CE7C6" w:rsidR="00AA42E2" w:rsidRDefault="00AA42E2" w:rsidP="003B3A93">
            <w:pPr>
              <w:spacing w:before="120"/>
              <w:cnfStyle w:val="000000000000" w:firstRow="0" w:lastRow="0" w:firstColumn="0" w:lastColumn="0" w:oddVBand="0" w:evenVBand="0" w:oddHBand="0" w:evenHBand="0" w:firstRowFirstColumn="0" w:firstRowLastColumn="0" w:lastRowFirstColumn="0" w:lastRowLastColumn="0"/>
            </w:pPr>
            <w:r>
              <w:lastRenderedPageBreak/>
              <w:t xml:space="preserve">Intermediate </w:t>
            </w:r>
          </w:p>
        </w:tc>
      </w:tr>
      <w:tr w:rsidR="00AA42E2" w14:paraId="0C1F5B61" w14:textId="77777777" w:rsidTr="00AA42E2">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30C603E3" w14:textId="138D8D43" w:rsidR="00AA42E2" w:rsidRDefault="00AA42E2" w:rsidP="00AA42E2">
            <w:r w:rsidRPr="00C978B9">
              <w:rPr>
                <w:noProof/>
                <w:lang w:eastAsia="en-AU"/>
              </w:rPr>
              <w:drawing>
                <wp:inline distT="0" distB="0" distL="0" distR="0" wp14:anchorId="3870F9BD" wp14:editId="61299C8D">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973" w:type="dxa"/>
            <w:tcBorders>
              <w:top w:val="single" w:sz="8" w:space="0" w:color="D9D9D9" w:themeColor="background1" w:themeShade="D9"/>
              <w:bottom w:val="single" w:sz="8" w:space="0" w:color="D9D9D9" w:themeColor="background1" w:themeShade="D9"/>
            </w:tcBorders>
          </w:tcPr>
          <w:p w14:paraId="1E5D3799" w14:textId="77777777" w:rsidR="00AA42E2" w:rsidRPr="003B3A93" w:rsidRDefault="00AA42E2"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B3A93">
              <w:rPr>
                <w:rFonts w:ascii="Arial" w:hAnsi="Arial" w:cs="Arial"/>
                <w:b/>
                <w:bCs/>
                <w:sz w:val="20"/>
                <w:szCs w:val="20"/>
              </w:rPr>
              <w:t>Deliver Results</w:t>
            </w:r>
          </w:p>
          <w:p w14:paraId="378FF155" w14:textId="60ECFB59" w:rsid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pPr>
            <w:r w:rsidRPr="003B3A93">
              <w:rPr>
                <w:rFonts w:ascii="Arial" w:hAnsi="Arial" w:cs="Arial"/>
                <w:sz w:val="20"/>
                <w:szCs w:val="20"/>
              </w:rPr>
              <w:t>Achieve results through the efficient use of resources and a commitment to quality outcomes</w:t>
            </w:r>
          </w:p>
        </w:tc>
        <w:tc>
          <w:tcPr>
            <w:tcW w:w="5971" w:type="dxa"/>
            <w:tcBorders>
              <w:top w:val="single" w:sz="8" w:space="0" w:color="D9D9D9" w:themeColor="background1" w:themeShade="D9"/>
              <w:bottom w:val="single" w:sz="8" w:space="0" w:color="D9D9D9" w:themeColor="background1" w:themeShade="D9"/>
            </w:tcBorders>
          </w:tcPr>
          <w:p w14:paraId="1F0CA49E" w14:textId="77777777" w:rsidR="003B3A93" w:rsidRPr="003B3A93" w:rsidRDefault="003B3A93" w:rsidP="003B3A93">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Seek and apply specialist advice when required</w:t>
            </w:r>
            <w:r w:rsidRPr="003B3A93">
              <w:rPr>
                <w:rFonts w:ascii="Arial" w:hAnsi="Arial" w:cs="Times New Roman"/>
                <w:sz w:val="20"/>
                <w:szCs w:val="20"/>
              </w:rPr>
              <w:tab/>
            </w:r>
          </w:p>
          <w:p w14:paraId="0A248AC4" w14:textId="36EC3727" w:rsidR="003B3A93" w:rsidRPr="003B3A93" w:rsidRDefault="003B3A93"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Complete work tasks within set budgets, timeframes and standards</w:t>
            </w:r>
            <w:r w:rsidRPr="003B3A93">
              <w:rPr>
                <w:rFonts w:ascii="Arial" w:hAnsi="Arial" w:cs="Times New Roman"/>
                <w:sz w:val="20"/>
                <w:szCs w:val="20"/>
              </w:rPr>
              <w:tab/>
            </w:r>
          </w:p>
          <w:p w14:paraId="41269423" w14:textId="4A17B26B" w:rsidR="003B3A93" w:rsidRPr="003B3A93" w:rsidRDefault="003B3A93"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Take the initiative to progress and deliver own work and that of the team or unit</w:t>
            </w:r>
            <w:r w:rsidRPr="003B3A93">
              <w:rPr>
                <w:rFonts w:ascii="Arial" w:hAnsi="Arial" w:cs="Times New Roman"/>
                <w:sz w:val="20"/>
                <w:szCs w:val="20"/>
              </w:rPr>
              <w:tab/>
            </w:r>
          </w:p>
          <w:p w14:paraId="723289B0" w14:textId="77777777" w:rsidR="003B3A93" w:rsidRPr="003B3A93" w:rsidRDefault="003B3A93"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Contribute to allocating responsibilities and resources to ensure the team or unit achieves goals</w:t>
            </w:r>
            <w:r w:rsidRPr="003B3A93">
              <w:rPr>
                <w:rFonts w:ascii="Arial" w:hAnsi="Arial" w:cs="Times New Roman"/>
                <w:sz w:val="20"/>
                <w:szCs w:val="20"/>
              </w:rPr>
              <w:tab/>
            </w:r>
          </w:p>
          <w:p w14:paraId="7E2B2200" w14:textId="77777777" w:rsidR="003B3A93" w:rsidRPr="003B3A93" w:rsidRDefault="003B3A93"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Identify any barriers to achieving results and resolve these where possible</w:t>
            </w:r>
            <w:r w:rsidRPr="003B3A93">
              <w:rPr>
                <w:rFonts w:ascii="Arial" w:hAnsi="Arial" w:cs="Times New Roman"/>
                <w:sz w:val="20"/>
                <w:szCs w:val="20"/>
              </w:rPr>
              <w:tab/>
            </w:r>
          </w:p>
          <w:p w14:paraId="282A29DD" w14:textId="17D915EF" w:rsidR="00AA42E2" w:rsidRPr="003B3A93" w:rsidRDefault="003B3A93" w:rsidP="003B3A93">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Proactively change or adjust plans when needed</w:t>
            </w:r>
          </w:p>
        </w:tc>
        <w:tc>
          <w:tcPr>
            <w:tcW w:w="1401" w:type="dxa"/>
            <w:tcBorders>
              <w:top w:val="single" w:sz="8" w:space="0" w:color="D9D9D9" w:themeColor="background1" w:themeShade="D9"/>
              <w:bottom w:val="single" w:sz="8" w:space="0" w:color="D9D9D9" w:themeColor="background1" w:themeShade="D9"/>
              <w:right w:val="single" w:sz="8" w:space="0" w:color="FFFFFF" w:themeColor="background1"/>
            </w:tcBorders>
          </w:tcPr>
          <w:p w14:paraId="7494D0E8" w14:textId="2C989053" w:rsidR="00AA42E2" w:rsidRDefault="00AA42E2" w:rsidP="003B3A93">
            <w:pPr>
              <w:spacing w:before="120"/>
              <w:cnfStyle w:val="000000100000" w:firstRow="0" w:lastRow="0" w:firstColumn="0" w:lastColumn="0" w:oddVBand="0" w:evenVBand="0" w:oddHBand="1" w:evenHBand="0" w:firstRowFirstColumn="0" w:firstRowLastColumn="0" w:lastRowFirstColumn="0" w:lastRowLastColumn="0"/>
            </w:pPr>
            <w:r>
              <w:t>Intermediate</w:t>
            </w:r>
          </w:p>
        </w:tc>
      </w:tr>
      <w:tr w:rsidR="00AA42E2" w14:paraId="4C104899" w14:textId="77777777" w:rsidTr="00AA42E2">
        <w:trPr>
          <w:trHeight w:val="13"/>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4D14DA68" w14:textId="0ED3CAD0" w:rsidR="00AA42E2" w:rsidRDefault="00AA42E2" w:rsidP="00AA42E2">
            <w:r w:rsidRPr="00C978B9">
              <w:rPr>
                <w:noProof/>
                <w:lang w:eastAsia="en-AU"/>
              </w:rPr>
              <w:drawing>
                <wp:inline distT="0" distB="0" distL="0" distR="0" wp14:anchorId="6E184C20" wp14:editId="352D5B2A">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973" w:type="dxa"/>
            <w:tcBorders>
              <w:top w:val="single" w:sz="8" w:space="0" w:color="D9D9D9" w:themeColor="background1" w:themeShade="D9"/>
              <w:bottom w:val="single" w:sz="8" w:space="0" w:color="D9D9D9" w:themeColor="background1" w:themeShade="D9"/>
            </w:tcBorders>
          </w:tcPr>
          <w:p w14:paraId="2E883EBD" w14:textId="77777777" w:rsidR="00AA42E2" w:rsidRPr="00AA42E2" w:rsidRDefault="00AA42E2" w:rsidP="003B3A9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20"/>
                <w:szCs w:val="20"/>
                <w:lang w:val="en-US"/>
              </w:rPr>
            </w:pPr>
            <w:r w:rsidRPr="00AA42E2">
              <w:rPr>
                <w:rFonts w:ascii="Arial" w:hAnsi="Arial" w:cs="Arial"/>
                <w:b/>
                <w:bCs/>
                <w:sz w:val="20"/>
                <w:szCs w:val="20"/>
              </w:rPr>
              <w:t>Technology</w:t>
            </w:r>
          </w:p>
          <w:p w14:paraId="340BA298" w14:textId="3BDBA191" w:rsidR="00AA42E2" w:rsidRDefault="00AA42E2" w:rsidP="003B3A93">
            <w:pPr>
              <w:spacing w:before="120" w:line="276" w:lineRule="auto"/>
              <w:cnfStyle w:val="000000000000" w:firstRow="0" w:lastRow="0" w:firstColumn="0" w:lastColumn="0" w:oddVBand="0" w:evenVBand="0" w:oddHBand="0" w:evenHBand="0" w:firstRowFirstColumn="0" w:firstRowLastColumn="0" w:lastRowFirstColumn="0" w:lastRowLastColumn="0"/>
            </w:pPr>
            <w:r w:rsidRPr="00AA42E2">
              <w:rPr>
                <w:rFonts w:ascii="Arial" w:eastAsiaTheme="minorEastAsia" w:hAnsi="Arial" w:cs="Arial"/>
                <w:sz w:val="20"/>
                <w:szCs w:val="20"/>
                <w:lang w:val="en-US"/>
              </w:rPr>
              <w:t>Understand and use available technologies to maximise efficiencies and effectiveness</w:t>
            </w:r>
          </w:p>
        </w:tc>
        <w:tc>
          <w:tcPr>
            <w:tcW w:w="5971" w:type="dxa"/>
            <w:tcBorders>
              <w:top w:val="single" w:sz="8" w:space="0" w:color="D9D9D9" w:themeColor="background1" w:themeShade="D9"/>
              <w:bottom w:val="single" w:sz="8" w:space="0" w:color="D9D9D9" w:themeColor="background1" w:themeShade="D9"/>
            </w:tcBorders>
          </w:tcPr>
          <w:p w14:paraId="1797C099" w14:textId="77777777" w:rsidR="003B3A93" w:rsidRDefault="003B3A93" w:rsidP="003B3A93">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Demonstrate a sound understanding of technology relevant to the work unit, and identify and select the most appropriate technology for assigned tasks</w:t>
            </w:r>
            <w:r w:rsidRPr="003B3A93">
              <w:rPr>
                <w:rFonts w:ascii="Arial" w:hAnsi="Arial" w:cs="Times New Roman"/>
                <w:sz w:val="20"/>
                <w:szCs w:val="20"/>
              </w:rPr>
              <w:tab/>
            </w:r>
          </w:p>
          <w:p w14:paraId="1158FC47" w14:textId="77777777" w:rsidR="003B3A93"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Use available technology to improve individual performance and effectiveness</w:t>
            </w:r>
            <w:r w:rsidRPr="003B3A93">
              <w:rPr>
                <w:rFonts w:ascii="Arial" w:hAnsi="Arial" w:cs="Times New Roman"/>
                <w:sz w:val="20"/>
                <w:szCs w:val="20"/>
              </w:rPr>
              <w:tab/>
            </w:r>
          </w:p>
          <w:p w14:paraId="3F5714E0" w14:textId="77777777" w:rsidR="003B3A93"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Make effective use of records, information and knowledge management functions and systems</w:t>
            </w:r>
            <w:r w:rsidRPr="003B3A93">
              <w:rPr>
                <w:rFonts w:ascii="Arial" w:hAnsi="Arial" w:cs="Times New Roman"/>
                <w:sz w:val="20"/>
                <w:szCs w:val="20"/>
              </w:rPr>
              <w:tab/>
            </w:r>
          </w:p>
          <w:p w14:paraId="7D14BEFC" w14:textId="1DD2E991" w:rsidR="00AA42E2" w:rsidRPr="0080536B"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Support the implementation of systems improvement initiatives, and the introduction and roll-out of new technologies</w:t>
            </w:r>
            <w:r w:rsidRPr="003B3A93">
              <w:rPr>
                <w:rFonts w:ascii="Arial" w:hAnsi="Arial" w:cs="Times New Roman"/>
                <w:sz w:val="20"/>
                <w:szCs w:val="20"/>
              </w:rPr>
              <w:tab/>
            </w:r>
            <w:r w:rsidRPr="003B3A93">
              <w:rPr>
                <w:rFonts w:ascii="Arial" w:hAnsi="Arial" w:cs="Times New Roman"/>
                <w:sz w:val="20"/>
                <w:szCs w:val="20"/>
              </w:rPr>
              <w:tab/>
            </w:r>
          </w:p>
        </w:tc>
        <w:tc>
          <w:tcPr>
            <w:tcW w:w="1401"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6E168FF0" w:rsidR="00AA42E2" w:rsidRDefault="00AA42E2" w:rsidP="003B3A93">
            <w:pPr>
              <w:spacing w:before="120"/>
              <w:cnfStyle w:val="000000000000" w:firstRow="0" w:lastRow="0" w:firstColumn="0" w:lastColumn="0" w:oddVBand="0" w:evenVBand="0" w:oddHBand="0" w:evenHBand="0" w:firstRowFirstColumn="0" w:firstRowLastColumn="0" w:lastRowFirstColumn="0" w:lastRowLastColumn="0"/>
            </w:pPr>
            <w:r>
              <w:t xml:space="preserve">Intermediate </w:t>
            </w:r>
          </w:p>
        </w:tc>
      </w:tr>
    </w:tbl>
    <w:p w14:paraId="708C073F" w14:textId="3C4CC14A"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6"/>
        <w:gridCol w:w="5986"/>
        <w:gridCol w:w="1306"/>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3B3A93">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6"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86"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6"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14:paraId="7F7063BD" w14:textId="77777777" w:rsidTr="003B3A93">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7919DCD4" w14:textId="105369B3" w:rsidR="00847160" w:rsidRDefault="003B3A93" w:rsidP="003B3A93">
            <w:pPr>
              <w:spacing w:before="120" w:line="276" w:lineRule="auto"/>
            </w:pPr>
            <w:r w:rsidRPr="003B3A93">
              <w:rPr>
                <w:rFonts w:ascii="Arial" w:hAnsi="Arial" w:cs="Arial"/>
                <w:sz w:val="20"/>
                <w:szCs w:val="20"/>
              </w:rPr>
              <w:t>Customer service support</w:t>
            </w:r>
            <w:r w:rsidR="00847160">
              <w:rPr>
                <w:noProof/>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6" w:type="dxa"/>
            <w:tcBorders>
              <w:top w:val="single" w:sz="18" w:space="0" w:color="auto"/>
              <w:bottom w:val="single" w:sz="8" w:space="0" w:color="D9D9D9" w:themeColor="background1" w:themeShade="D9"/>
            </w:tcBorders>
          </w:tcPr>
          <w:p w14:paraId="30676E72" w14:textId="39E75B75" w:rsid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B3A93">
              <w:rPr>
                <w:rFonts w:ascii="Arial" w:eastAsiaTheme="minorEastAsia" w:hAnsi="Arial" w:cs="Arial"/>
                <w:sz w:val="20"/>
                <w:szCs w:val="20"/>
                <w:lang w:val="en-US"/>
              </w:rPr>
              <w:t>Relationships and engagement</w:t>
            </w:r>
          </w:p>
          <w:p w14:paraId="70399EDC" w14:textId="45CEFA5C" w:rsidR="00847160" w:rsidRP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B3A93">
              <w:rPr>
                <w:rFonts w:ascii="Arial" w:eastAsiaTheme="minorEastAsia" w:hAnsi="Arial" w:cs="Arial"/>
                <w:sz w:val="20"/>
                <w:szCs w:val="20"/>
                <w:lang w:val="en-US"/>
              </w:rPr>
              <w:t>Stakeholder management</w:t>
            </w:r>
          </w:p>
        </w:tc>
        <w:tc>
          <w:tcPr>
            <w:tcW w:w="5986" w:type="dxa"/>
            <w:tcBorders>
              <w:top w:val="single" w:sz="18" w:space="0" w:color="auto"/>
              <w:bottom w:val="single" w:sz="8" w:space="0" w:color="D9D9D9" w:themeColor="background1" w:themeShade="D9"/>
            </w:tcBorders>
          </w:tcPr>
          <w:p w14:paraId="20628916" w14:textId="77777777" w:rsidR="003B3A93" w:rsidRDefault="003B3A93" w:rsidP="003B3A93">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 xml:space="preserve">Responds to common requests for service by providing information to enable fulfilment. </w:t>
            </w:r>
          </w:p>
          <w:p w14:paraId="32F4C526" w14:textId="77777777" w:rsidR="003B3A93" w:rsidRDefault="003B3A93" w:rsidP="003B3A93">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 xml:space="preserve">Promptly allocates unresolved calls as appropriate. </w:t>
            </w:r>
          </w:p>
          <w:p w14:paraId="6D9042D9" w14:textId="7F31C237" w:rsidR="00847160" w:rsidRPr="0080536B" w:rsidRDefault="003B3A93" w:rsidP="003B3A93">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Maintains records, informs users about the process and advises relevant persons of actions taken.</w:t>
            </w:r>
          </w:p>
        </w:tc>
        <w:tc>
          <w:tcPr>
            <w:tcW w:w="1306" w:type="dxa"/>
            <w:tcBorders>
              <w:top w:val="single" w:sz="18" w:space="0" w:color="auto"/>
              <w:bottom w:val="single" w:sz="8" w:space="0" w:color="D9D9D9" w:themeColor="background1" w:themeShade="D9"/>
              <w:right w:val="single" w:sz="8" w:space="0" w:color="FFFFFF" w:themeColor="background1"/>
            </w:tcBorders>
          </w:tcPr>
          <w:p w14:paraId="1472F735" w14:textId="77777777" w:rsidR="003B3A93" w:rsidRDefault="003B3A93" w:rsidP="003B3A93">
            <w:pPr>
              <w:spacing w:before="120"/>
              <w:cnfStyle w:val="000000100000" w:firstRow="0" w:lastRow="0" w:firstColumn="0" w:lastColumn="0" w:oddVBand="0" w:evenVBand="0" w:oddHBand="1" w:evenHBand="0" w:firstRowFirstColumn="0" w:firstRowLastColumn="0" w:lastRowFirstColumn="0" w:lastRowLastColumn="0"/>
            </w:pPr>
            <w:r>
              <w:t xml:space="preserve">Level 2 </w:t>
            </w:r>
          </w:p>
          <w:p w14:paraId="52617272" w14:textId="7FB3167F" w:rsidR="00847160" w:rsidRDefault="003B3A93" w:rsidP="003B3A93">
            <w:pPr>
              <w:spacing w:before="120"/>
              <w:cnfStyle w:val="000000100000" w:firstRow="0" w:lastRow="0" w:firstColumn="0" w:lastColumn="0" w:oddVBand="0" w:evenVBand="0" w:oddHBand="1" w:evenHBand="0" w:firstRowFirstColumn="0" w:firstRowLastColumn="0" w:lastRowFirstColumn="0" w:lastRowLastColumn="0"/>
            </w:pPr>
            <w:r>
              <w:t>CSMG</w:t>
            </w:r>
          </w:p>
        </w:tc>
      </w:tr>
      <w:tr w:rsidR="003B3A93" w14:paraId="239DA07C" w14:textId="77777777" w:rsidTr="003B3A93">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1D93588C" w14:textId="77777777" w:rsidR="003B3A93" w:rsidRPr="003B3A93" w:rsidRDefault="003B3A93" w:rsidP="003B3A93">
            <w:pPr>
              <w:spacing w:before="120" w:line="276" w:lineRule="auto"/>
              <w:rPr>
                <w:rFonts w:ascii="Arial" w:hAnsi="Arial" w:cs="Arial"/>
                <w:sz w:val="20"/>
                <w:szCs w:val="20"/>
              </w:rPr>
            </w:pPr>
            <w:r w:rsidRPr="003B3A93">
              <w:rPr>
                <w:rFonts w:ascii="Arial" w:hAnsi="Arial" w:cs="Arial"/>
                <w:sz w:val="20"/>
                <w:szCs w:val="20"/>
              </w:rPr>
              <w:t>Methods and tools</w:t>
            </w:r>
          </w:p>
          <w:p w14:paraId="15AF522F" w14:textId="38B8BC71" w:rsidR="003B3A93" w:rsidRPr="003B3A93" w:rsidRDefault="003B3A93" w:rsidP="003B3A93">
            <w:pPr>
              <w:spacing w:before="120" w:line="276" w:lineRule="auto"/>
              <w:ind w:left="-112"/>
              <w:rPr>
                <w:rFonts w:ascii="Arial" w:hAnsi="Arial" w:cs="Arial"/>
                <w:sz w:val="20"/>
                <w:szCs w:val="20"/>
              </w:rPr>
            </w:pPr>
            <w:r>
              <w:rPr>
                <w:noProof/>
              </w:rPr>
              <w:drawing>
                <wp:inline distT="0" distB="0" distL="0" distR="0" wp14:anchorId="2221FCC4" wp14:editId="0CEAAA25">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6" w:type="dxa"/>
            <w:tcBorders>
              <w:top w:val="single" w:sz="8" w:space="0" w:color="D9D9D9" w:themeColor="background1" w:themeShade="D9"/>
              <w:bottom w:val="single" w:sz="8" w:space="0" w:color="D9D9D9" w:themeColor="background1" w:themeShade="D9"/>
            </w:tcBorders>
          </w:tcPr>
          <w:p w14:paraId="218E1719" w14:textId="77777777" w:rsidR="003B3A93" w:rsidRPr="003B3A93" w:rsidRDefault="003B3A93" w:rsidP="003B3A9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B3A93">
              <w:rPr>
                <w:rFonts w:ascii="Arial" w:eastAsiaTheme="minorEastAsia" w:hAnsi="Arial" w:cs="Arial"/>
                <w:sz w:val="20"/>
                <w:szCs w:val="20"/>
                <w:lang w:val="en-US"/>
              </w:rPr>
              <w:t>Strategy and architecture</w:t>
            </w:r>
            <w:r w:rsidRPr="003B3A93">
              <w:rPr>
                <w:rFonts w:ascii="Arial" w:eastAsiaTheme="minorEastAsia" w:hAnsi="Arial" w:cs="Arial"/>
                <w:sz w:val="20"/>
                <w:szCs w:val="20"/>
                <w:lang w:val="en-US"/>
              </w:rPr>
              <w:tab/>
            </w:r>
          </w:p>
          <w:p w14:paraId="01F086C1" w14:textId="6318E2C3" w:rsidR="003B3A93" w:rsidRPr="003B3A93" w:rsidRDefault="003B3A93" w:rsidP="003B3A9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B3A93">
              <w:rPr>
                <w:rFonts w:ascii="Arial" w:eastAsiaTheme="minorEastAsia" w:hAnsi="Arial" w:cs="Arial"/>
                <w:sz w:val="20"/>
                <w:szCs w:val="20"/>
                <w:lang w:val="en-US"/>
              </w:rPr>
              <w:t>Technical strategy and planning</w:t>
            </w:r>
          </w:p>
        </w:tc>
        <w:tc>
          <w:tcPr>
            <w:tcW w:w="5986" w:type="dxa"/>
            <w:tcBorders>
              <w:top w:val="single" w:sz="8" w:space="0" w:color="D9D9D9" w:themeColor="background1" w:themeShade="D9"/>
              <w:bottom w:val="single" w:sz="8" w:space="0" w:color="D9D9D9" w:themeColor="background1" w:themeShade="D9"/>
            </w:tcBorders>
          </w:tcPr>
          <w:p w14:paraId="4CC03405" w14:textId="77777777" w:rsidR="003B3A93" w:rsidRDefault="003B3A93" w:rsidP="003B3A93">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 xml:space="preserve">Provides support on the use of existing method and tools. Configures methods and tools within a known context. </w:t>
            </w:r>
          </w:p>
          <w:p w14:paraId="036E5E01" w14:textId="04989436" w:rsidR="003B3A93" w:rsidRPr="0080536B" w:rsidRDefault="003B3A93" w:rsidP="003B3A93">
            <w:pPr>
              <w:pStyle w:val="ListParagraph"/>
              <w:numPr>
                <w:ilvl w:val="0"/>
                <w:numId w:val="13"/>
              </w:numPr>
              <w:spacing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B3A93">
              <w:rPr>
                <w:rFonts w:ascii="Arial" w:hAnsi="Arial" w:cs="Times New Roman"/>
                <w:sz w:val="20"/>
                <w:szCs w:val="20"/>
              </w:rPr>
              <w:t>Creates and updates the documentation of methods and tools.</w:t>
            </w:r>
          </w:p>
        </w:tc>
        <w:tc>
          <w:tcPr>
            <w:tcW w:w="13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454A3607" w14:textId="77777777" w:rsidR="003B3A93" w:rsidRDefault="003B3A93" w:rsidP="003B3A93">
            <w:pPr>
              <w:spacing w:before="120"/>
              <w:cnfStyle w:val="000000000000" w:firstRow="0" w:lastRow="0" w:firstColumn="0" w:lastColumn="0" w:oddVBand="0" w:evenVBand="0" w:oddHBand="0" w:evenHBand="0" w:firstRowFirstColumn="0" w:firstRowLastColumn="0" w:lastRowFirstColumn="0" w:lastRowLastColumn="0"/>
            </w:pPr>
            <w:r>
              <w:t>Level 3</w:t>
            </w:r>
          </w:p>
          <w:p w14:paraId="3C18EF35" w14:textId="3C9DB774" w:rsidR="003B3A93" w:rsidRDefault="003B3A93" w:rsidP="003B3A93">
            <w:pPr>
              <w:spacing w:before="120"/>
              <w:cnfStyle w:val="000000000000" w:firstRow="0" w:lastRow="0" w:firstColumn="0" w:lastColumn="0" w:oddVBand="0" w:evenVBand="0" w:oddHBand="0" w:evenHBand="0" w:firstRowFirstColumn="0" w:firstRowLastColumn="0" w:lastRowFirstColumn="0" w:lastRowLastColumn="0"/>
            </w:pPr>
            <w:r>
              <w:t>METL</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5"/>
        <w:gridCol w:w="1878"/>
        <w:gridCol w:w="5748"/>
        <w:gridCol w:w="139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3B3A93">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5"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78"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8"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9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3B3A93" w14:paraId="3DBA0899" w14:textId="77777777" w:rsidTr="003B3A93">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18" w:space="0" w:color="auto"/>
              <w:left w:val="single" w:sz="8" w:space="0" w:color="FFFFFF" w:themeColor="background1"/>
            </w:tcBorders>
          </w:tcPr>
          <w:p w14:paraId="0483D049" w14:textId="76638207" w:rsidR="003B3A93" w:rsidRDefault="003B3A93" w:rsidP="00F92DBC">
            <w:r w:rsidRPr="00C978B9">
              <w:rPr>
                <w:noProof/>
                <w:lang w:eastAsia="en-AU"/>
              </w:rPr>
              <w:drawing>
                <wp:inline distT="0" distB="0" distL="0" distR="0" wp14:anchorId="62803D61" wp14:editId="6CBF8F5F">
                  <wp:extent cx="848995" cy="848995"/>
                  <wp:effectExtent l="0" t="0" r="8255" b="8255"/>
                  <wp:docPr id="7"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78" w:type="dxa"/>
            <w:tcBorders>
              <w:top w:val="single" w:sz="18" w:space="0" w:color="auto"/>
              <w:bottom w:val="single" w:sz="8" w:space="0" w:color="D9D9D9" w:themeColor="background1" w:themeShade="D9"/>
            </w:tcBorders>
          </w:tcPr>
          <w:p w14:paraId="4FDA345F" w14:textId="430C4B06" w:rsidR="003B3A93" w:rsidRP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3A93">
              <w:rPr>
                <w:rFonts w:ascii="Arial" w:hAnsi="Arial" w:cs="Arial"/>
                <w:sz w:val="20"/>
                <w:szCs w:val="20"/>
              </w:rPr>
              <w:t>Display Resilience and Courage</w:t>
            </w:r>
          </w:p>
        </w:tc>
        <w:tc>
          <w:tcPr>
            <w:tcW w:w="5748" w:type="dxa"/>
            <w:tcBorders>
              <w:top w:val="single" w:sz="18" w:space="0" w:color="auto"/>
              <w:bottom w:val="single" w:sz="8" w:space="0" w:color="D9D9D9" w:themeColor="background1" w:themeShade="D9"/>
            </w:tcBorders>
          </w:tcPr>
          <w:p w14:paraId="0117EEAB" w14:textId="280DA36B" w:rsidR="003B3A93" w:rsidRPr="00847160"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92113">
              <w:rPr>
                <w:rFonts w:ascii="Arial" w:hAnsi="Arial" w:cs="Arial"/>
                <w:sz w:val="20"/>
                <w:szCs w:val="20"/>
              </w:rPr>
              <w:t>Be open and honest, prepared to express your views, and willing to accept and commit to change</w:t>
            </w:r>
          </w:p>
        </w:tc>
        <w:tc>
          <w:tcPr>
            <w:tcW w:w="1397" w:type="dxa"/>
            <w:tcBorders>
              <w:top w:val="single" w:sz="18" w:space="0" w:color="auto"/>
              <w:bottom w:val="single" w:sz="8" w:space="0" w:color="D9D9D9" w:themeColor="background1" w:themeShade="D9"/>
              <w:right w:val="single" w:sz="8" w:space="0" w:color="FFFFFF" w:themeColor="background1"/>
            </w:tcBorders>
          </w:tcPr>
          <w:p w14:paraId="0E2BB48C" w14:textId="5494E3E6" w:rsid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pPr>
            <w:r>
              <w:t xml:space="preserve">Intermediate </w:t>
            </w:r>
          </w:p>
        </w:tc>
      </w:tr>
      <w:tr w:rsidR="003B3A93" w14:paraId="686717D3" w14:textId="77777777" w:rsidTr="00D46203">
        <w:trPr>
          <w:trHeight w:val="16"/>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24E89B3B" w14:textId="77777777" w:rsidR="003B3A93" w:rsidRDefault="003B3A93" w:rsidP="003B3A93"/>
        </w:tc>
        <w:tc>
          <w:tcPr>
            <w:tcW w:w="1878" w:type="dxa"/>
            <w:tcBorders>
              <w:top w:val="single" w:sz="8" w:space="0" w:color="D9D9D9" w:themeColor="background1" w:themeShade="D9"/>
              <w:bottom w:val="single" w:sz="8" w:space="0" w:color="D9D9D9" w:themeColor="background1" w:themeShade="D9"/>
            </w:tcBorders>
          </w:tcPr>
          <w:p w14:paraId="58C6721F" w14:textId="77777777" w:rsidR="003B3A93" w:rsidRPr="00392113" w:rsidRDefault="003B3A93" w:rsidP="003B3A9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Act with Integrity</w:t>
            </w:r>
          </w:p>
          <w:p w14:paraId="0A97E6BA" w14:textId="77777777" w:rsidR="003B3A93" w:rsidRDefault="003B3A93" w:rsidP="003B3A93">
            <w:pPr>
              <w:cnfStyle w:val="000000000000" w:firstRow="0" w:lastRow="0" w:firstColumn="0" w:lastColumn="0" w:oddVBand="0" w:evenVBand="0" w:oddHBand="0" w:evenHBand="0" w:firstRowFirstColumn="0" w:firstRowLastColumn="0" w:lastRowFirstColumn="0" w:lastRowLastColumn="0"/>
            </w:pPr>
          </w:p>
        </w:tc>
        <w:tc>
          <w:tcPr>
            <w:tcW w:w="5748" w:type="dxa"/>
            <w:tcBorders>
              <w:top w:val="single" w:sz="8" w:space="0" w:color="D9D9D9" w:themeColor="background1" w:themeShade="D9"/>
              <w:bottom w:val="single" w:sz="8" w:space="0" w:color="D9D9D9" w:themeColor="background1" w:themeShade="D9"/>
            </w:tcBorders>
          </w:tcPr>
          <w:p w14:paraId="007B1B35" w14:textId="5014E6B4" w:rsidR="003B3A93" w:rsidRPr="003B3A93" w:rsidRDefault="003B3A93" w:rsidP="003B3A9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Be ethical and professional, and uphold and promote the public sector values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2DF2CD31" w:rsidR="003B3A93" w:rsidRDefault="003B3A93" w:rsidP="003B3A93">
            <w:pPr>
              <w:spacing w:before="120" w:line="276" w:lineRule="auto"/>
              <w:cnfStyle w:val="000000000000" w:firstRow="0" w:lastRow="0" w:firstColumn="0" w:lastColumn="0" w:oddVBand="0" w:evenVBand="0" w:oddHBand="0" w:evenHBand="0" w:firstRowFirstColumn="0" w:firstRowLastColumn="0" w:lastRowFirstColumn="0" w:lastRowLastColumn="0"/>
            </w:pPr>
            <w:r>
              <w:t>Foundational</w:t>
            </w:r>
          </w:p>
        </w:tc>
      </w:tr>
      <w:tr w:rsidR="003B3A93" w14:paraId="2E40E26E" w14:textId="77777777" w:rsidTr="00D46203">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5609DC85" w14:textId="77777777" w:rsidR="003B3A93" w:rsidRDefault="003B3A93" w:rsidP="003B3A93"/>
        </w:tc>
        <w:tc>
          <w:tcPr>
            <w:tcW w:w="1878" w:type="dxa"/>
            <w:tcBorders>
              <w:top w:val="single" w:sz="8" w:space="0" w:color="D9D9D9" w:themeColor="background1" w:themeShade="D9"/>
              <w:bottom w:val="single" w:sz="8" w:space="0" w:color="D9D9D9" w:themeColor="background1" w:themeShade="D9"/>
            </w:tcBorders>
          </w:tcPr>
          <w:p w14:paraId="535DBAD3" w14:textId="0DC09538" w:rsidR="003B3A93" w:rsidRP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Value Diversity and Inclusion</w:t>
            </w:r>
          </w:p>
        </w:tc>
        <w:tc>
          <w:tcPr>
            <w:tcW w:w="5748" w:type="dxa"/>
            <w:tcBorders>
              <w:top w:val="single" w:sz="8" w:space="0" w:color="D9D9D9" w:themeColor="background1" w:themeShade="D9"/>
              <w:bottom w:val="single" w:sz="8" w:space="0" w:color="D9D9D9" w:themeColor="background1" w:themeShade="D9"/>
            </w:tcBorders>
          </w:tcPr>
          <w:p w14:paraId="4DD508B1" w14:textId="30293CA4" w:rsidR="003B3A93" w:rsidRP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Demonstrate inclusive behaviour and show respect for diverse backgrounds, experiences and perspectives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096C7830" w:rsidR="003B3A93" w:rsidRDefault="003B3A93" w:rsidP="003B3A93">
            <w:pPr>
              <w:spacing w:before="120" w:line="276" w:lineRule="auto"/>
              <w:cnfStyle w:val="000000100000" w:firstRow="0" w:lastRow="0" w:firstColumn="0" w:lastColumn="0" w:oddVBand="0" w:evenVBand="0" w:oddHBand="1" w:evenHBand="0" w:firstRowFirstColumn="0" w:firstRowLastColumn="0" w:lastRowFirstColumn="0" w:lastRowLastColumn="0"/>
            </w:pPr>
            <w:r>
              <w:t>Foundational</w:t>
            </w:r>
          </w:p>
        </w:tc>
      </w:tr>
      <w:tr w:rsidR="000A3500" w14:paraId="50D07CEB" w14:textId="77777777" w:rsidTr="003B3A93">
        <w:trPr>
          <w:trHeight w:val="5"/>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8" w:space="0" w:color="BCBEC0"/>
              <w:left w:val="single" w:sz="8" w:space="0" w:color="FFFFFF" w:themeColor="background1"/>
            </w:tcBorders>
          </w:tcPr>
          <w:p w14:paraId="561AECFA" w14:textId="12702667" w:rsidR="000A3500" w:rsidRDefault="000A3500" w:rsidP="00F92DBC">
            <w:r w:rsidRPr="00C978B9">
              <w:rPr>
                <w:noProof/>
                <w:lang w:eastAsia="en-AU"/>
              </w:rPr>
              <w:drawing>
                <wp:inline distT="0" distB="0" distL="0" distR="0" wp14:anchorId="737DEC9F" wp14:editId="40EB7A3C">
                  <wp:extent cx="854016" cy="854016"/>
                  <wp:effectExtent l="0" t="0" r="3810" b="3810"/>
                  <wp:docPr id="8"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78" w:type="dxa"/>
            <w:tcBorders>
              <w:top w:val="single" w:sz="8" w:space="0" w:color="D9D9D9" w:themeColor="background1" w:themeShade="D9"/>
              <w:bottom w:val="single" w:sz="8" w:space="0" w:color="D9D9D9" w:themeColor="background1" w:themeShade="D9"/>
            </w:tcBorders>
          </w:tcPr>
          <w:p w14:paraId="620211AE" w14:textId="2D9F633C" w:rsidR="000A3500" w:rsidRPr="003B3A93" w:rsidRDefault="000A3500" w:rsidP="003B3A9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3A93">
              <w:rPr>
                <w:rFonts w:ascii="Arial" w:hAnsi="Arial" w:cs="Arial"/>
                <w:sz w:val="20"/>
                <w:szCs w:val="20"/>
              </w:rPr>
              <w:t>Communicate Effectively</w:t>
            </w:r>
          </w:p>
        </w:tc>
        <w:tc>
          <w:tcPr>
            <w:tcW w:w="5748" w:type="dxa"/>
            <w:tcBorders>
              <w:top w:val="single" w:sz="8" w:space="0" w:color="D9D9D9" w:themeColor="background1" w:themeShade="D9"/>
              <w:bottom w:val="single" w:sz="8" w:space="0" w:color="D9D9D9" w:themeColor="background1" w:themeShade="D9"/>
            </w:tcBorders>
          </w:tcPr>
          <w:p w14:paraId="046D2F69" w14:textId="57B624B9" w:rsidR="000A3500" w:rsidRPr="003B3A93" w:rsidRDefault="000A3500" w:rsidP="003B3A93">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3A93">
              <w:rPr>
                <w:rFonts w:ascii="Arial" w:hAnsi="Arial" w:cs="Arial"/>
                <w:sz w:val="20"/>
                <w:szCs w:val="20"/>
              </w:rPr>
              <w:t>Communicate clearly, actively listen to others, and respond with understanding and respect</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31DB0188" w:rsidR="000A3500" w:rsidRPr="000A3500" w:rsidRDefault="000A3500" w:rsidP="000A3500">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500">
              <w:rPr>
                <w:rFonts w:ascii="Arial" w:hAnsi="Arial" w:cs="Arial"/>
                <w:sz w:val="20"/>
                <w:szCs w:val="20"/>
              </w:rPr>
              <w:t>Intermediate</w:t>
            </w:r>
          </w:p>
        </w:tc>
      </w:tr>
      <w:tr w:rsidR="000A3500" w14:paraId="48FC513F" w14:textId="77777777" w:rsidTr="000A350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1B22854C" w14:textId="77777777" w:rsidR="000A3500" w:rsidRDefault="000A3500" w:rsidP="00F92DBC"/>
        </w:tc>
        <w:tc>
          <w:tcPr>
            <w:tcW w:w="1878" w:type="dxa"/>
            <w:tcBorders>
              <w:top w:val="single" w:sz="8" w:space="0" w:color="D9D9D9" w:themeColor="background1" w:themeShade="D9"/>
              <w:bottom w:val="single" w:sz="8" w:space="0" w:color="D9D9D9" w:themeColor="background1" w:themeShade="D9"/>
            </w:tcBorders>
          </w:tcPr>
          <w:p w14:paraId="166078CC" w14:textId="1B37BA50" w:rsidR="000A3500" w:rsidRPr="000A3500" w:rsidRDefault="000A3500" w:rsidP="000A3500">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3500">
              <w:rPr>
                <w:rFonts w:ascii="Arial" w:hAnsi="Arial" w:cs="Arial"/>
                <w:sz w:val="20"/>
                <w:szCs w:val="20"/>
              </w:rPr>
              <w:t>Work Collaboratively</w:t>
            </w:r>
          </w:p>
        </w:tc>
        <w:tc>
          <w:tcPr>
            <w:tcW w:w="5748" w:type="dxa"/>
            <w:tcBorders>
              <w:top w:val="single" w:sz="8" w:space="0" w:color="D9D9D9" w:themeColor="background1" w:themeShade="D9"/>
              <w:bottom w:val="single" w:sz="8" w:space="0" w:color="D9D9D9" w:themeColor="background1" w:themeShade="D9"/>
            </w:tcBorders>
          </w:tcPr>
          <w:p w14:paraId="0E06E8D4" w14:textId="377C578A" w:rsidR="000A3500" w:rsidRPr="000A3500" w:rsidRDefault="000A3500" w:rsidP="000A3500">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0A3500">
              <w:rPr>
                <w:rFonts w:cs="Arial"/>
              </w:rPr>
              <w:t>Collaborate with others and value their contribution</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70FBFA6A" w:rsidR="000A3500" w:rsidRPr="000A3500" w:rsidRDefault="000A3500" w:rsidP="000A3500">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3500">
              <w:rPr>
                <w:rFonts w:ascii="Arial" w:hAnsi="Arial" w:cs="Arial"/>
                <w:sz w:val="20"/>
                <w:szCs w:val="20"/>
              </w:rPr>
              <w:t>Foundational</w:t>
            </w:r>
          </w:p>
        </w:tc>
      </w:tr>
      <w:tr w:rsidR="000A3500" w14:paraId="4DE146E7" w14:textId="77777777" w:rsidTr="000A3500">
        <w:trPr>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bottom w:val="single" w:sz="4" w:space="0" w:color="BFBFBF" w:themeColor="background1" w:themeShade="BF"/>
            </w:tcBorders>
          </w:tcPr>
          <w:p w14:paraId="6BAF640E" w14:textId="77777777" w:rsidR="000A3500" w:rsidRDefault="000A3500" w:rsidP="000A3500"/>
        </w:tc>
        <w:tc>
          <w:tcPr>
            <w:tcW w:w="1878" w:type="dxa"/>
            <w:tcBorders>
              <w:top w:val="single" w:sz="8" w:space="0" w:color="D9D9D9" w:themeColor="background1" w:themeShade="D9"/>
              <w:bottom w:val="single" w:sz="8" w:space="0" w:color="D9D9D9" w:themeColor="background1" w:themeShade="D9"/>
            </w:tcBorders>
          </w:tcPr>
          <w:p w14:paraId="429E66FF" w14:textId="7104F9C0" w:rsidR="000A3500" w:rsidRPr="000A3500" w:rsidRDefault="000A3500" w:rsidP="000A3500">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500">
              <w:rPr>
                <w:rFonts w:ascii="Arial" w:hAnsi="Arial" w:cs="Arial"/>
                <w:sz w:val="20"/>
                <w:szCs w:val="20"/>
              </w:rPr>
              <w:t>Influence and Negotiate</w:t>
            </w:r>
          </w:p>
        </w:tc>
        <w:tc>
          <w:tcPr>
            <w:tcW w:w="5748" w:type="dxa"/>
            <w:tcBorders>
              <w:top w:val="single" w:sz="8" w:space="0" w:color="D9D9D9" w:themeColor="background1" w:themeShade="D9"/>
              <w:bottom w:val="single" w:sz="8" w:space="0" w:color="D9D9D9" w:themeColor="background1" w:themeShade="D9"/>
            </w:tcBorders>
          </w:tcPr>
          <w:p w14:paraId="51E20C7E" w14:textId="66EE2CCA" w:rsidR="000A3500" w:rsidRPr="000A3500" w:rsidRDefault="000A3500" w:rsidP="000A3500">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500">
              <w:rPr>
                <w:rFonts w:ascii="Arial" w:hAnsi="Arial" w:cs="Arial"/>
                <w:sz w:val="20"/>
                <w:szCs w:val="20"/>
              </w:rPr>
              <w:t>Gain consensus and commitment from others, and resolve issues and conflicts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8061F07" w14:textId="0C3BB2B3" w:rsidR="000A3500" w:rsidRPr="000A3500" w:rsidRDefault="000A3500" w:rsidP="000A3500">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500">
              <w:rPr>
                <w:rFonts w:ascii="Arial" w:hAnsi="Arial" w:cs="Arial"/>
                <w:sz w:val="20"/>
                <w:szCs w:val="20"/>
              </w:rPr>
              <w:t>Foundational</w:t>
            </w:r>
          </w:p>
        </w:tc>
      </w:tr>
      <w:tr w:rsidR="000A3500" w14:paraId="214244C2" w14:textId="77777777" w:rsidTr="000A350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4" w:space="0" w:color="BFBFBF" w:themeColor="background1" w:themeShade="BF"/>
              <w:left w:val="single" w:sz="8" w:space="0" w:color="FFFFFF" w:themeColor="background1"/>
            </w:tcBorders>
          </w:tcPr>
          <w:p w14:paraId="4325024D" w14:textId="2E3BC382" w:rsidR="000A3500" w:rsidRDefault="000A3500" w:rsidP="000A3500">
            <w:r w:rsidRPr="00C978B9">
              <w:rPr>
                <w:noProof/>
                <w:lang w:eastAsia="en-AU"/>
              </w:rPr>
              <w:drawing>
                <wp:inline distT="0" distB="0" distL="0" distR="0" wp14:anchorId="45C81224" wp14:editId="276CC699">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78" w:type="dxa"/>
            <w:tcBorders>
              <w:top w:val="single" w:sz="8" w:space="0" w:color="D9D9D9" w:themeColor="background1" w:themeShade="D9"/>
              <w:bottom w:val="single" w:sz="8" w:space="0" w:color="BCBEC0"/>
            </w:tcBorders>
          </w:tcPr>
          <w:p w14:paraId="7DD6138B" w14:textId="30F1B226" w:rsidR="000A3500" w:rsidRPr="000A3500" w:rsidRDefault="000A3500" w:rsidP="000A3500">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3500">
              <w:rPr>
                <w:rFonts w:ascii="Arial" w:hAnsi="Arial" w:cs="Arial"/>
                <w:sz w:val="20"/>
                <w:szCs w:val="20"/>
              </w:rPr>
              <w:t>Plan and Prioritise</w:t>
            </w:r>
          </w:p>
        </w:tc>
        <w:tc>
          <w:tcPr>
            <w:tcW w:w="5748" w:type="dxa"/>
            <w:tcBorders>
              <w:top w:val="single" w:sz="8" w:space="0" w:color="D9D9D9" w:themeColor="background1" w:themeShade="D9"/>
              <w:bottom w:val="single" w:sz="8" w:space="0" w:color="BCBEC0"/>
            </w:tcBorders>
          </w:tcPr>
          <w:p w14:paraId="18B8B7F4" w14:textId="434C37BE" w:rsidR="000A3500" w:rsidRPr="000A3500" w:rsidRDefault="000A3500" w:rsidP="000A3500">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3500">
              <w:rPr>
                <w:rFonts w:ascii="Arial" w:hAnsi="Arial" w:cs="Arial"/>
                <w:sz w:val="20"/>
                <w:szCs w:val="20"/>
              </w:rPr>
              <w:t>Plan to achieve priority outcomes and respond flexibly to changing circumstances</w:t>
            </w:r>
          </w:p>
        </w:tc>
        <w:tc>
          <w:tcPr>
            <w:tcW w:w="1397" w:type="dxa"/>
            <w:tcBorders>
              <w:top w:val="single" w:sz="8" w:space="0" w:color="D9D9D9" w:themeColor="background1" w:themeShade="D9"/>
              <w:bottom w:val="single" w:sz="8" w:space="0" w:color="BCBEC0"/>
              <w:right w:val="single" w:sz="8" w:space="0" w:color="FFFFFF" w:themeColor="background1"/>
            </w:tcBorders>
          </w:tcPr>
          <w:p w14:paraId="0175DA3F" w14:textId="10ACE17D" w:rsidR="000A3500" w:rsidRPr="000A3500" w:rsidRDefault="000A3500" w:rsidP="000A3500">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3500">
              <w:rPr>
                <w:rFonts w:ascii="Arial" w:hAnsi="Arial" w:cs="Arial"/>
                <w:sz w:val="20"/>
                <w:szCs w:val="20"/>
              </w:rPr>
              <w:t>Foundational</w:t>
            </w:r>
          </w:p>
        </w:tc>
      </w:tr>
      <w:tr w:rsidR="000A3500" w14:paraId="38A06CD7" w14:textId="77777777" w:rsidTr="000A3500">
        <w:trPr>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413235DE" w14:textId="77777777" w:rsidR="000A3500" w:rsidRDefault="000A3500" w:rsidP="00F92DBC"/>
        </w:tc>
        <w:tc>
          <w:tcPr>
            <w:tcW w:w="1878" w:type="dxa"/>
            <w:tcBorders>
              <w:top w:val="single" w:sz="8" w:space="0" w:color="D9D9D9" w:themeColor="background1" w:themeShade="D9"/>
              <w:bottom w:val="single" w:sz="8" w:space="0" w:color="D9D9D9" w:themeColor="background1" w:themeShade="D9"/>
            </w:tcBorders>
          </w:tcPr>
          <w:p w14:paraId="3E496FAC" w14:textId="31FF62E5" w:rsidR="000A3500" w:rsidRPr="000A3500" w:rsidRDefault="000A3500" w:rsidP="000A3500">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500">
              <w:rPr>
                <w:rFonts w:ascii="Arial" w:hAnsi="Arial" w:cs="Arial"/>
                <w:sz w:val="20"/>
                <w:szCs w:val="20"/>
              </w:rPr>
              <w:t>Think and Solve Problems</w:t>
            </w:r>
          </w:p>
        </w:tc>
        <w:tc>
          <w:tcPr>
            <w:tcW w:w="5748" w:type="dxa"/>
            <w:tcBorders>
              <w:top w:val="single" w:sz="8" w:space="0" w:color="D9D9D9" w:themeColor="background1" w:themeShade="D9"/>
              <w:bottom w:val="single" w:sz="8" w:space="0" w:color="D9D9D9" w:themeColor="background1" w:themeShade="D9"/>
            </w:tcBorders>
          </w:tcPr>
          <w:p w14:paraId="224DF426" w14:textId="629F418C" w:rsidR="000A3500" w:rsidRPr="000A3500"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Think, analyse and consider the broader context to develop practical solutions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39C2767" w14:textId="53317162" w:rsidR="000A3500" w:rsidRPr="000A3500" w:rsidRDefault="000A3500" w:rsidP="000A3500">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500">
              <w:rPr>
                <w:rFonts w:ascii="Arial" w:hAnsi="Arial" w:cs="Arial"/>
                <w:sz w:val="20"/>
                <w:szCs w:val="20"/>
              </w:rPr>
              <w:t>Intermediate</w:t>
            </w:r>
          </w:p>
        </w:tc>
      </w:tr>
      <w:tr w:rsidR="000A3500" w14:paraId="7F8CB896" w14:textId="77777777" w:rsidTr="000A350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bottom w:val="single" w:sz="4" w:space="0" w:color="BFBFBF" w:themeColor="background1" w:themeShade="BF"/>
            </w:tcBorders>
          </w:tcPr>
          <w:p w14:paraId="41334956" w14:textId="77777777" w:rsidR="000A3500" w:rsidRDefault="000A3500" w:rsidP="000A3500"/>
        </w:tc>
        <w:tc>
          <w:tcPr>
            <w:tcW w:w="1878" w:type="dxa"/>
            <w:tcBorders>
              <w:top w:val="single" w:sz="8" w:space="0" w:color="D9D9D9" w:themeColor="background1" w:themeShade="D9"/>
              <w:bottom w:val="single" w:sz="8" w:space="0" w:color="BCBEC0"/>
            </w:tcBorders>
          </w:tcPr>
          <w:p w14:paraId="679151D0" w14:textId="116E06A3" w:rsidR="000A3500" w:rsidRPr="000A3500" w:rsidRDefault="000A3500" w:rsidP="000A3500">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Demonstrate Accountability</w:t>
            </w:r>
          </w:p>
        </w:tc>
        <w:tc>
          <w:tcPr>
            <w:tcW w:w="5748" w:type="dxa"/>
            <w:tcBorders>
              <w:top w:val="single" w:sz="8" w:space="0" w:color="D9D9D9" w:themeColor="background1" w:themeShade="D9"/>
              <w:bottom w:val="single" w:sz="8" w:space="0" w:color="BCBEC0"/>
            </w:tcBorders>
          </w:tcPr>
          <w:p w14:paraId="4CFC9624" w14:textId="4501676B" w:rsidR="000A3500" w:rsidRPr="00392113" w:rsidRDefault="000A3500" w:rsidP="000A3500">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392113">
              <w:rPr>
                <w:rFonts w:cs="Arial"/>
              </w:rPr>
              <w:t>Be proactive and responsible for own actions, and adhere to legislation, policy and guidelines</w:t>
            </w:r>
          </w:p>
        </w:tc>
        <w:tc>
          <w:tcPr>
            <w:tcW w:w="1397" w:type="dxa"/>
            <w:tcBorders>
              <w:top w:val="single" w:sz="8" w:space="0" w:color="D9D9D9" w:themeColor="background1" w:themeShade="D9"/>
              <w:bottom w:val="single" w:sz="8" w:space="0" w:color="BCBEC0"/>
              <w:right w:val="single" w:sz="8" w:space="0" w:color="FFFFFF" w:themeColor="background1"/>
            </w:tcBorders>
          </w:tcPr>
          <w:p w14:paraId="1118CD68" w14:textId="0F983A81" w:rsidR="000A3500" w:rsidRPr="000A3500" w:rsidRDefault="000A3500" w:rsidP="000A3500">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3500">
              <w:rPr>
                <w:rFonts w:ascii="Arial" w:hAnsi="Arial" w:cs="Arial"/>
                <w:sz w:val="20"/>
                <w:szCs w:val="20"/>
              </w:rPr>
              <w:t>Foundational</w:t>
            </w:r>
          </w:p>
        </w:tc>
      </w:tr>
      <w:tr w:rsidR="000A3500" w14:paraId="6F48C14D" w14:textId="77777777" w:rsidTr="000A3500">
        <w:trPr>
          <w:trHeight w:val="5"/>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4" w:space="0" w:color="BFBFBF" w:themeColor="background1" w:themeShade="BF"/>
              <w:left w:val="single" w:sz="8" w:space="0" w:color="FFFFFF" w:themeColor="background1"/>
            </w:tcBorders>
          </w:tcPr>
          <w:p w14:paraId="6CEB25CA" w14:textId="60191693" w:rsidR="000A3500" w:rsidRDefault="000A3500" w:rsidP="000A3500">
            <w:r w:rsidRPr="00C978B9">
              <w:rPr>
                <w:noProof/>
                <w:lang w:eastAsia="en-AU"/>
              </w:rPr>
              <w:drawing>
                <wp:inline distT="0" distB="0" distL="0" distR="0" wp14:anchorId="3D83F93E" wp14:editId="0AFD9253">
                  <wp:extent cx="845388" cy="845388"/>
                  <wp:effectExtent l="0" t="0" r="0" b="0"/>
                  <wp:docPr id="9"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78" w:type="dxa"/>
            <w:tcBorders>
              <w:top w:val="single" w:sz="8" w:space="0" w:color="D9D9D9" w:themeColor="background1" w:themeShade="D9"/>
              <w:bottom w:val="single" w:sz="8" w:space="0" w:color="D9D9D9" w:themeColor="background1" w:themeShade="D9"/>
            </w:tcBorders>
          </w:tcPr>
          <w:p w14:paraId="14159ACA" w14:textId="75AA02B2" w:rsidR="000A3500" w:rsidRPr="000A3500"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Finance</w:t>
            </w:r>
          </w:p>
        </w:tc>
        <w:tc>
          <w:tcPr>
            <w:tcW w:w="5748" w:type="dxa"/>
            <w:tcBorders>
              <w:top w:val="single" w:sz="8" w:space="0" w:color="D9D9D9" w:themeColor="background1" w:themeShade="D9"/>
              <w:bottom w:val="single" w:sz="8" w:space="0" w:color="D9D9D9" w:themeColor="background1" w:themeShade="D9"/>
            </w:tcBorders>
          </w:tcPr>
          <w:p w14:paraId="1BDFFA25" w14:textId="16366692" w:rsidR="000A3500" w:rsidRPr="00392113"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Understand and apply financial processes to achieve value for money and minimise financial risk</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A8C3135" w14:textId="157D7BD7" w:rsidR="000A3500" w:rsidRPr="000A3500"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0A3500">
              <w:rPr>
                <w:rFonts w:cs="Arial"/>
              </w:rPr>
              <w:t>Foundational</w:t>
            </w:r>
          </w:p>
        </w:tc>
      </w:tr>
      <w:tr w:rsidR="000A3500" w14:paraId="4B83D38D" w14:textId="77777777" w:rsidTr="0026433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4812ACCF" w14:textId="77777777" w:rsidR="000A3500" w:rsidRPr="00C978B9" w:rsidRDefault="000A3500" w:rsidP="000A3500">
            <w:pPr>
              <w:rPr>
                <w:noProof/>
                <w:lang w:eastAsia="en-AU"/>
              </w:rPr>
            </w:pPr>
          </w:p>
        </w:tc>
        <w:tc>
          <w:tcPr>
            <w:tcW w:w="1878" w:type="dxa"/>
            <w:tcBorders>
              <w:top w:val="single" w:sz="8" w:space="0" w:color="D9D9D9" w:themeColor="background1" w:themeShade="D9"/>
              <w:bottom w:val="single" w:sz="8" w:space="0" w:color="BCBEC0"/>
            </w:tcBorders>
          </w:tcPr>
          <w:p w14:paraId="0F7C4995" w14:textId="5CBA12F8" w:rsidR="000A3500" w:rsidRPr="000A3500" w:rsidRDefault="000A3500" w:rsidP="000A3500">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392113">
              <w:rPr>
                <w:rFonts w:cs="Arial"/>
              </w:rPr>
              <w:t>Procurement and Contract Management</w:t>
            </w:r>
          </w:p>
        </w:tc>
        <w:tc>
          <w:tcPr>
            <w:tcW w:w="5748" w:type="dxa"/>
            <w:tcBorders>
              <w:top w:val="single" w:sz="8" w:space="0" w:color="D9D9D9" w:themeColor="background1" w:themeShade="D9"/>
              <w:bottom w:val="single" w:sz="8" w:space="0" w:color="BCBEC0"/>
            </w:tcBorders>
          </w:tcPr>
          <w:p w14:paraId="2E1F9E70" w14:textId="69769E57" w:rsidR="000A3500" w:rsidRPr="00392113" w:rsidRDefault="000A3500" w:rsidP="000A3500">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392113">
              <w:rPr>
                <w:rFonts w:cs="Arial"/>
              </w:rPr>
              <w:t>Understand and apply procurement processes to ensure effective purchasing and contract performance</w:t>
            </w:r>
          </w:p>
        </w:tc>
        <w:tc>
          <w:tcPr>
            <w:tcW w:w="1397" w:type="dxa"/>
            <w:tcBorders>
              <w:top w:val="single" w:sz="8" w:space="0" w:color="D9D9D9" w:themeColor="background1" w:themeShade="D9"/>
              <w:bottom w:val="single" w:sz="8" w:space="0" w:color="BCBEC0"/>
              <w:right w:val="single" w:sz="8" w:space="0" w:color="FFFFFF" w:themeColor="background1"/>
            </w:tcBorders>
          </w:tcPr>
          <w:p w14:paraId="0E0E0934" w14:textId="0A04AF6A" w:rsidR="000A3500" w:rsidRPr="000A3500" w:rsidRDefault="000A3500" w:rsidP="000A3500">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0A3500">
              <w:rPr>
                <w:rFonts w:cs="Arial"/>
              </w:rPr>
              <w:t>Foundational</w:t>
            </w:r>
          </w:p>
        </w:tc>
      </w:tr>
      <w:tr w:rsidR="000A3500" w14:paraId="3C5C2134" w14:textId="77777777" w:rsidTr="003B3A93">
        <w:trPr>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bottom w:val="single" w:sz="8" w:space="0" w:color="BCBEC0"/>
            </w:tcBorders>
          </w:tcPr>
          <w:p w14:paraId="0D6896AC" w14:textId="77777777" w:rsidR="000A3500" w:rsidRPr="00C978B9" w:rsidRDefault="000A3500" w:rsidP="000A3500">
            <w:pPr>
              <w:rPr>
                <w:noProof/>
                <w:lang w:eastAsia="en-AU"/>
              </w:rPr>
            </w:pPr>
          </w:p>
        </w:tc>
        <w:tc>
          <w:tcPr>
            <w:tcW w:w="1878" w:type="dxa"/>
            <w:tcBorders>
              <w:top w:val="single" w:sz="8" w:space="0" w:color="D9D9D9" w:themeColor="background1" w:themeShade="D9"/>
              <w:bottom w:val="single" w:sz="8" w:space="0" w:color="BCBEC0"/>
            </w:tcBorders>
          </w:tcPr>
          <w:p w14:paraId="0068FDA9" w14:textId="01D4767E" w:rsidR="000A3500" w:rsidRPr="000A3500"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Project Management</w:t>
            </w:r>
          </w:p>
        </w:tc>
        <w:tc>
          <w:tcPr>
            <w:tcW w:w="5748" w:type="dxa"/>
            <w:tcBorders>
              <w:top w:val="single" w:sz="8" w:space="0" w:color="D9D9D9" w:themeColor="background1" w:themeShade="D9"/>
              <w:bottom w:val="single" w:sz="8" w:space="0" w:color="BCBEC0"/>
            </w:tcBorders>
          </w:tcPr>
          <w:p w14:paraId="56D7E036" w14:textId="4ED28335" w:rsidR="000A3500" w:rsidRPr="00392113"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Understand and apply effective planning, coordination and control methods</w:t>
            </w:r>
          </w:p>
        </w:tc>
        <w:tc>
          <w:tcPr>
            <w:tcW w:w="1397" w:type="dxa"/>
            <w:tcBorders>
              <w:top w:val="single" w:sz="8" w:space="0" w:color="D9D9D9" w:themeColor="background1" w:themeShade="D9"/>
              <w:bottom w:val="single" w:sz="8" w:space="0" w:color="BCBEC0"/>
              <w:right w:val="single" w:sz="8" w:space="0" w:color="FFFFFF" w:themeColor="background1"/>
            </w:tcBorders>
          </w:tcPr>
          <w:p w14:paraId="32C14AB7" w14:textId="70CA33D8" w:rsidR="000A3500" w:rsidRPr="000A3500" w:rsidRDefault="000A3500" w:rsidP="000A3500">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0A3500">
              <w:rPr>
                <w:rFonts w:cs="Arial"/>
              </w:rPr>
              <w:t>Foundational</w:t>
            </w:r>
          </w:p>
        </w:tc>
      </w:tr>
    </w:tbl>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Look w:val="04A0" w:firstRow="1" w:lastRow="0" w:firstColumn="1" w:lastColumn="0" w:noHBand="0" w:noVBand="1"/>
      </w:tblPr>
      <w:tblGrid>
        <w:gridCol w:w="2183"/>
        <w:gridCol w:w="2212"/>
        <w:gridCol w:w="4819"/>
        <w:gridCol w:w="1560"/>
      </w:tblGrid>
      <w:tr w:rsidR="00313197" w:rsidRPr="00847160" w14:paraId="66FD3509" w14:textId="77777777" w:rsidTr="000A3500">
        <w:trPr>
          <w:cnfStyle w:val="100000000000" w:firstRow="1" w:lastRow="0" w:firstColumn="0" w:lastColumn="0" w:oddVBand="0" w:evenVBand="0" w:oddHBand="0" w:evenHBand="0" w:firstRowFirstColumn="0" w:firstRowLastColumn="0" w:lastRowFirstColumn="0" w:lastRowLastColumn="0"/>
          <w:trHeight w:val="476"/>
          <w:tblHeader/>
        </w:trPr>
        <w:tc>
          <w:tcPr>
            <w:tcW w:w="10774"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0A3500">
        <w:trPr>
          <w:cnfStyle w:val="100000000000" w:firstRow="1" w:lastRow="0" w:firstColumn="0" w:lastColumn="0" w:oddVBand="0" w:evenVBand="0" w:oddHBand="0" w:evenHBand="0" w:firstRowFirstColumn="0" w:firstRowLastColumn="0" w:lastRowFirstColumn="0" w:lastRowLastColumn="0"/>
          <w:trHeight w:val="382"/>
          <w:tblHeader/>
        </w:trPr>
        <w:tc>
          <w:tcPr>
            <w:tcW w:w="2183"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2212"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4819"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560" w:type="dxa"/>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923772" w:rsidRPr="00847160" w14:paraId="13ED611E" w14:textId="77777777" w:rsidTr="000A3500">
        <w:trPr>
          <w:cantSplit/>
        </w:trPr>
        <w:tc>
          <w:tcPr>
            <w:tcW w:w="2183" w:type="dxa"/>
            <w:tcBorders>
              <w:top w:val="single" w:sz="18" w:space="0" w:color="auto"/>
            </w:tcBorders>
            <w:vAlign w:val="center"/>
          </w:tcPr>
          <w:p w14:paraId="7FB48584" w14:textId="0D82F823" w:rsidR="000A3500" w:rsidRPr="000A3500" w:rsidRDefault="000A3500" w:rsidP="000A3500">
            <w:pPr>
              <w:pStyle w:val="TableBullet"/>
              <w:keepNext/>
              <w:keepLines/>
              <w:numPr>
                <w:ilvl w:val="0"/>
                <w:numId w:val="0"/>
              </w:numPr>
              <w:spacing w:before="120" w:line="276" w:lineRule="auto"/>
              <w:rPr>
                <w:rFonts w:cs="Arial"/>
              </w:rPr>
            </w:pPr>
            <w:r w:rsidRPr="000A3500">
              <w:rPr>
                <w:rFonts w:cs="Arial"/>
              </w:rPr>
              <w:t>Incident management</w:t>
            </w:r>
          </w:p>
          <w:p w14:paraId="769C2633" w14:textId="412691CF" w:rsidR="00923772" w:rsidRPr="00847160" w:rsidRDefault="00923772" w:rsidP="000A3500">
            <w:pPr>
              <w:pStyle w:val="TableTextWhite0"/>
              <w:keepNext/>
              <w:keepLines/>
              <w:ind w:left="-56"/>
              <w:rPr>
                <w:rFonts w:cs="Arial"/>
                <w:b w:val="0"/>
                <w:bCs/>
                <w:sz w:val="24"/>
                <w:szCs w:val="24"/>
              </w:rPr>
            </w:pPr>
            <w:r w:rsidRPr="00847160">
              <w:rPr>
                <w:rFonts w:cs="Arial"/>
                <w:b w:val="0"/>
                <w:bCs/>
                <w:noProof/>
                <w:sz w:val="24"/>
                <w:szCs w:val="24"/>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212" w:type="dxa"/>
            <w:tcBorders>
              <w:top w:val="single" w:sz="18" w:space="0" w:color="auto"/>
            </w:tcBorders>
            <w:shd w:val="clear" w:color="auto" w:fill="auto"/>
          </w:tcPr>
          <w:p w14:paraId="6F1CF9C9" w14:textId="77777777" w:rsidR="000A3500" w:rsidRDefault="000A3500" w:rsidP="000A3500">
            <w:pPr>
              <w:spacing w:before="120"/>
              <w:rPr>
                <w:rFonts w:cs="Arial"/>
              </w:rPr>
            </w:pPr>
            <w:r w:rsidRPr="000A3500">
              <w:rPr>
                <w:rFonts w:cs="Arial"/>
              </w:rPr>
              <w:t>Delivery and operation</w:t>
            </w:r>
            <w:r w:rsidRPr="000A3500">
              <w:rPr>
                <w:rFonts w:cs="Arial"/>
              </w:rPr>
              <w:tab/>
            </w:r>
          </w:p>
          <w:p w14:paraId="1FCC3AEE" w14:textId="5E069661" w:rsidR="00923772" w:rsidRPr="000A3500" w:rsidRDefault="000A3500" w:rsidP="000A3500">
            <w:pPr>
              <w:rPr>
                <w:rFonts w:cs="Arial"/>
              </w:rPr>
            </w:pPr>
            <w:r w:rsidRPr="000A3500">
              <w:rPr>
                <w:rFonts w:cs="Arial"/>
              </w:rPr>
              <w:t>Service operation</w:t>
            </w:r>
          </w:p>
        </w:tc>
        <w:tc>
          <w:tcPr>
            <w:tcW w:w="4819" w:type="dxa"/>
            <w:tcBorders>
              <w:top w:val="single" w:sz="18" w:space="0" w:color="auto"/>
            </w:tcBorders>
            <w:shd w:val="clear" w:color="auto" w:fill="auto"/>
          </w:tcPr>
          <w:p w14:paraId="452F5BAD" w14:textId="43D9999D" w:rsidR="00923772" w:rsidRPr="000A3500" w:rsidRDefault="000A3500" w:rsidP="000A3500">
            <w:pPr>
              <w:spacing w:before="120" w:line="276" w:lineRule="auto"/>
              <w:ind w:right="137"/>
              <w:rPr>
                <w:rFonts w:cs="Arial"/>
              </w:rPr>
            </w:pPr>
            <w:r w:rsidRPr="000A3500">
              <w:rPr>
                <w:rFonts w:cs="Arial"/>
              </w:rPr>
              <w:t>The processing and coordination of appropriate and timely responses to incident reports, including channelling requests for help to appropriate functions for resolution, monitoring resolution activity, and keeping clients appraised of progress towards service restoration.</w:t>
            </w:r>
          </w:p>
        </w:tc>
        <w:tc>
          <w:tcPr>
            <w:tcW w:w="1560" w:type="dxa"/>
            <w:tcBorders>
              <w:top w:val="single" w:sz="18" w:space="0" w:color="auto"/>
            </w:tcBorders>
            <w:shd w:val="clear" w:color="auto" w:fill="auto"/>
          </w:tcPr>
          <w:p w14:paraId="4E6E68F1" w14:textId="77777777" w:rsidR="00923772" w:rsidRPr="000A3500" w:rsidRDefault="000A3500" w:rsidP="000A3500">
            <w:pPr>
              <w:pStyle w:val="TableBullet"/>
              <w:keepNext/>
              <w:keepLines/>
              <w:numPr>
                <w:ilvl w:val="0"/>
                <w:numId w:val="0"/>
              </w:numPr>
              <w:spacing w:before="120" w:line="276" w:lineRule="auto"/>
              <w:rPr>
                <w:rFonts w:cs="Arial"/>
              </w:rPr>
            </w:pPr>
            <w:r w:rsidRPr="000A3500">
              <w:rPr>
                <w:rFonts w:cs="Arial"/>
              </w:rPr>
              <w:t>Level 2</w:t>
            </w:r>
          </w:p>
          <w:p w14:paraId="68BC1E90" w14:textId="755748EB" w:rsidR="000A3500" w:rsidRPr="000A3500" w:rsidRDefault="000A3500" w:rsidP="000A3500">
            <w:pPr>
              <w:pStyle w:val="TableBullet"/>
              <w:keepNext/>
              <w:keepLines/>
              <w:numPr>
                <w:ilvl w:val="0"/>
                <w:numId w:val="0"/>
              </w:numPr>
              <w:spacing w:before="120" w:line="276" w:lineRule="auto"/>
              <w:rPr>
                <w:rFonts w:cs="Arial"/>
              </w:rPr>
            </w:pPr>
            <w:r w:rsidRPr="000A3500">
              <w:rPr>
                <w:rFonts w:cs="Arial"/>
              </w:rPr>
              <w:t>USUP</w:t>
            </w:r>
          </w:p>
        </w:tc>
      </w:tr>
      <w:tr w:rsidR="00923772" w:rsidRPr="00847160" w14:paraId="6BA8CAC6" w14:textId="77777777" w:rsidTr="000A3500">
        <w:trPr>
          <w:cantSplit/>
        </w:trPr>
        <w:tc>
          <w:tcPr>
            <w:tcW w:w="2183" w:type="dxa"/>
          </w:tcPr>
          <w:p w14:paraId="2DF2436E" w14:textId="77777777" w:rsidR="000A3500" w:rsidRPr="000A3500" w:rsidRDefault="000A3500" w:rsidP="000A3500">
            <w:pPr>
              <w:pStyle w:val="TableBullet"/>
              <w:keepNext/>
              <w:keepLines/>
              <w:numPr>
                <w:ilvl w:val="0"/>
                <w:numId w:val="0"/>
              </w:numPr>
              <w:spacing w:before="120" w:line="276" w:lineRule="auto"/>
              <w:rPr>
                <w:rFonts w:cs="Arial"/>
              </w:rPr>
            </w:pPr>
            <w:r w:rsidRPr="000A3500">
              <w:rPr>
                <w:rFonts w:cs="Arial"/>
              </w:rPr>
              <w:t>Service level management</w:t>
            </w:r>
          </w:p>
          <w:p w14:paraId="14B37778" w14:textId="321B1513" w:rsidR="00923772" w:rsidRPr="00847160" w:rsidRDefault="000A3500" w:rsidP="000A3500">
            <w:pPr>
              <w:pStyle w:val="TableTextWhite0"/>
              <w:keepNext/>
              <w:keepLines/>
              <w:ind w:left="-56"/>
              <w:rPr>
                <w:rFonts w:cs="Arial"/>
                <w:b w:val="0"/>
                <w:bCs/>
                <w:sz w:val="24"/>
                <w:szCs w:val="24"/>
              </w:rPr>
            </w:pPr>
            <w:r w:rsidRPr="00847160">
              <w:rPr>
                <w:rFonts w:cs="Arial"/>
                <w:b w:val="0"/>
                <w:bCs/>
                <w:noProof/>
                <w:sz w:val="24"/>
                <w:szCs w:val="24"/>
              </w:rPr>
              <w:drawing>
                <wp:inline distT="0" distB="0" distL="0" distR="0" wp14:anchorId="54045A2F" wp14:editId="4604A693">
                  <wp:extent cx="1247775" cy="572858"/>
                  <wp:effectExtent l="0" t="0" r="0" b="0"/>
                  <wp:docPr id="10" name="Picture 10"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212" w:type="dxa"/>
            <w:shd w:val="clear" w:color="auto" w:fill="auto"/>
          </w:tcPr>
          <w:p w14:paraId="17496B31" w14:textId="77777777" w:rsidR="000A3500" w:rsidRDefault="000A3500" w:rsidP="000A3500">
            <w:pPr>
              <w:spacing w:before="120"/>
              <w:rPr>
                <w:rFonts w:cs="Arial"/>
              </w:rPr>
            </w:pPr>
            <w:r w:rsidRPr="000A3500">
              <w:rPr>
                <w:rFonts w:cs="Arial"/>
              </w:rPr>
              <w:t>Delivery and operation</w:t>
            </w:r>
            <w:r w:rsidRPr="000A3500">
              <w:rPr>
                <w:rFonts w:cs="Arial"/>
              </w:rPr>
              <w:tab/>
            </w:r>
          </w:p>
          <w:p w14:paraId="47724125" w14:textId="3B1B0988" w:rsidR="00923772" w:rsidRPr="000A3500" w:rsidRDefault="000A3500" w:rsidP="000A3500">
            <w:pPr>
              <w:spacing w:before="120"/>
              <w:rPr>
                <w:rFonts w:cs="Arial"/>
              </w:rPr>
            </w:pPr>
            <w:r w:rsidRPr="000A3500">
              <w:rPr>
                <w:rFonts w:cs="Arial"/>
              </w:rPr>
              <w:t>Service design</w:t>
            </w:r>
          </w:p>
        </w:tc>
        <w:tc>
          <w:tcPr>
            <w:tcW w:w="4819" w:type="dxa"/>
            <w:shd w:val="clear" w:color="auto" w:fill="auto"/>
          </w:tcPr>
          <w:p w14:paraId="0E458B72" w14:textId="5C30D678" w:rsidR="00923772" w:rsidRPr="000A3500" w:rsidRDefault="000A3500" w:rsidP="000A3500">
            <w:pPr>
              <w:spacing w:before="120" w:line="276" w:lineRule="auto"/>
              <w:ind w:right="137"/>
              <w:rPr>
                <w:rFonts w:cs="Arial"/>
              </w:rPr>
            </w:pPr>
            <w:r w:rsidRPr="000A3500">
              <w:rPr>
                <w:rFonts w:cs="Arial"/>
              </w:rPr>
              <w:t>The planning, implementation, control, review and audit of service provision, to meet customer business requirements. This includes negotiation, implementation and monitoring of service level agreements, and the ongoing management of operational facilities to provide the agreed levels of service, seeking continually and proactively to improve service delivery and sustainability targets.</w:t>
            </w:r>
          </w:p>
        </w:tc>
        <w:tc>
          <w:tcPr>
            <w:tcW w:w="1560" w:type="dxa"/>
            <w:shd w:val="clear" w:color="auto" w:fill="auto"/>
          </w:tcPr>
          <w:p w14:paraId="0E56792F" w14:textId="77777777" w:rsidR="00923772" w:rsidRDefault="000A3500" w:rsidP="000A3500">
            <w:pPr>
              <w:pStyle w:val="TableBullet"/>
              <w:keepNext/>
              <w:keepLines/>
              <w:numPr>
                <w:ilvl w:val="0"/>
                <w:numId w:val="0"/>
              </w:numPr>
              <w:spacing w:before="120" w:line="276" w:lineRule="auto"/>
              <w:rPr>
                <w:rFonts w:cs="Arial"/>
              </w:rPr>
            </w:pPr>
            <w:r>
              <w:rPr>
                <w:rFonts w:cs="Arial"/>
              </w:rPr>
              <w:t>Level 2</w:t>
            </w:r>
          </w:p>
          <w:p w14:paraId="207CB7ED" w14:textId="76DE4B6F" w:rsidR="000A3500" w:rsidRPr="000A3500" w:rsidRDefault="000A3500" w:rsidP="000A3500">
            <w:pPr>
              <w:pStyle w:val="TableBullet"/>
              <w:keepNext/>
              <w:keepLines/>
              <w:numPr>
                <w:ilvl w:val="0"/>
                <w:numId w:val="0"/>
              </w:numPr>
              <w:spacing w:before="120" w:line="276" w:lineRule="auto"/>
              <w:rPr>
                <w:rFonts w:cs="Arial"/>
              </w:rPr>
            </w:pPr>
            <w:r>
              <w:rPr>
                <w:rFonts w:cs="Arial"/>
              </w:rPr>
              <w:t>SLMO</w:t>
            </w:r>
          </w:p>
        </w:tc>
      </w:tr>
    </w:tbl>
    <w:p w14:paraId="2CFAD564" w14:textId="77777777" w:rsidR="00320256" w:rsidRPr="003927AE" w:rsidRDefault="00320256" w:rsidP="003927AE"/>
    <w:sectPr w:rsidR="00320256"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967D" w14:textId="77777777" w:rsidR="002A093A" w:rsidRDefault="002A093A" w:rsidP="00BB532F">
      <w:pPr>
        <w:spacing w:after="0" w:line="240" w:lineRule="auto"/>
      </w:pPr>
      <w:r>
        <w:separator/>
      </w:r>
    </w:p>
  </w:endnote>
  <w:endnote w:type="continuationSeparator" w:id="0">
    <w:p w14:paraId="2A7AC3F8" w14:textId="77777777" w:rsidR="002A093A" w:rsidRDefault="002A093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31D7498F" w:rsidR="00C03AFD" w:rsidRDefault="00C03AFD" w:rsidP="00C03AFD">
          <w:pPr>
            <w:pStyle w:val="Footer"/>
          </w:pPr>
          <w:r w:rsidRPr="00C03AFD">
            <w:rPr>
              <w:color w:val="928B81"/>
              <w:sz w:val="18"/>
            </w:rPr>
            <w:t>Role Description</w:t>
          </w:r>
          <w:r w:rsidR="00443BCB">
            <w:rPr>
              <w:color w:val="928B81"/>
              <w:sz w:val="18"/>
            </w:rPr>
            <w:t xml:space="preserve">  </w:t>
          </w:r>
          <w:r w:rsidR="00BF615E" w:rsidRPr="00BF615E">
            <w:rPr>
              <w:b/>
              <w:color w:val="928B81"/>
              <w:sz w:val="18"/>
            </w:rPr>
            <w:t>Service Desk &amp; Field Support Coordinator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4151" w14:textId="77777777" w:rsidR="002A093A" w:rsidRDefault="002A093A" w:rsidP="00BB532F">
      <w:pPr>
        <w:spacing w:after="0" w:line="240" w:lineRule="auto"/>
      </w:pPr>
      <w:r>
        <w:separator/>
      </w:r>
    </w:p>
  </w:footnote>
  <w:footnote w:type="continuationSeparator" w:id="0">
    <w:p w14:paraId="01E3A26B" w14:textId="77777777" w:rsidR="002A093A" w:rsidRDefault="002A093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210C1FFF" w:rsidR="00935EE2" w:rsidRPr="00935EE2" w:rsidRDefault="00BF615E" w:rsidP="001C2248">
          <w:pPr>
            <w:pStyle w:val="TitleSub"/>
            <w:spacing w:after="0"/>
            <w:rPr>
              <w:rFonts w:ascii="Arial" w:hAnsi="Arial" w:cs="Arial"/>
              <w:b/>
            </w:rPr>
          </w:pPr>
          <w:r w:rsidRPr="00BF615E">
            <w:rPr>
              <w:rFonts w:ascii="Arial" w:hAnsi="Arial" w:cs="Arial"/>
              <w:b/>
            </w:rPr>
            <w:t>Service Desk &amp; Field Support Coordinator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704FE"/>
    <w:multiLevelType w:val="hybridMultilevel"/>
    <w:tmpl w:val="4BCA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3"/>
  </w:num>
  <w:num w:numId="13">
    <w:abstractNumId w:val="1"/>
  </w:num>
  <w:num w:numId="14">
    <w:abstractNumId w:val="6"/>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A3500"/>
    <w:rsid w:val="000C00E5"/>
    <w:rsid w:val="000C3CC8"/>
    <w:rsid w:val="000D12B3"/>
    <w:rsid w:val="000D799A"/>
    <w:rsid w:val="000E6B34"/>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A093A"/>
    <w:rsid w:val="002A648F"/>
    <w:rsid w:val="002B0B83"/>
    <w:rsid w:val="002B1F76"/>
    <w:rsid w:val="002B5704"/>
    <w:rsid w:val="002C2823"/>
    <w:rsid w:val="002C616A"/>
    <w:rsid w:val="002D336D"/>
    <w:rsid w:val="002D36BB"/>
    <w:rsid w:val="00300C40"/>
    <w:rsid w:val="00301747"/>
    <w:rsid w:val="00313197"/>
    <w:rsid w:val="00320256"/>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3A93"/>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C4D12"/>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34D8B"/>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42E2"/>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4DDA"/>
    <w:rsid w:val="00BE4EAE"/>
    <w:rsid w:val="00BE6E24"/>
    <w:rsid w:val="00BF5DDE"/>
    <w:rsid w:val="00BF615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BF615E"/>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3142">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05439127">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20326576">
      <w:bodyDiv w:val="1"/>
      <w:marLeft w:val="0"/>
      <w:marRight w:val="0"/>
      <w:marTop w:val="0"/>
      <w:marBottom w:val="0"/>
      <w:divBdr>
        <w:top w:val="none" w:sz="0" w:space="0" w:color="auto"/>
        <w:left w:val="none" w:sz="0" w:space="0" w:color="auto"/>
        <w:bottom w:val="none" w:sz="0" w:space="0" w:color="auto"/>
        <w:right w:val="none" w:sz="0" w:space="0" w:color="auto"/>
      </w:divBdr>
    </w:div>
    <w:div w:id="737944202">
      <w:bodyDiv w:val="1"/>
      <w:marLeft w:val="0"/>
      <w:marRight w:val="0"/>
      <w:marTop w:val="0"/>
      <w:marBottom w:val="0"/>
      <w:divBdr>
        <w:top w:val="none" w:sz="0" w:space="0" w:color="auto"/>
        <w:left w:val="none" w:sz="0" w:space="0" w:color="auto"/>
        <w:bottom w:val="none" w:sz="0" w:space="0" w:color="auto"/>
        <w:right w:val="none" w:sz="0" w:space="0" w:color="auto"/>
      </w:divBdr>
    </w:div>
    <w:div w:id="828405113">
      <w:bodyDiv w:val="1"/>
      <w:marLeft w:val="0"/>
      <w:marRight w:val="0"/>
      <w:marTop w:val="0"/>
      <w:marBottom w:val="0"/>
      <w:divBdr>
        <w:top w:val="none" w:sz="0" w:space="0" w:color="auto"/>
        <w:left w:val="none" w:sz="0" w:space="0" w:color="auto"/>
        <w:bottom w:val="none" w:sz="0" w:space="0" w:color="auto"/>
        <w:right w:val="none" w:sz="0" w:space="0" w:color="auto"/>
      </w:divBdr>
    </w:div>
    <w:div w:id="1144347862">
      <w:bodyDiv w:val="1"/>
      <w:marLeft w:val="0"/>
      <w:marRight w:val="0"/>
      <w:marTop w:val="0"/>
      <w:marBottom w:val="0"/>
      <w:divBdr>
        <w:top w:val="none" w:sz="0" w:space="0" w:color="auto"/>
        <w:left w:val="none" w:sz="0" w:space="0" w:color="auto"/>
        <w:bottom w:val="none" w:sz="0" w:space="0" w:color="auto"/>
        <w:right w:val="none" w:sz="0" w:space="0" w:color="auto"/>
      </w:divBdr>
    </w:div>
    <w:div w:id="1307467102">
      <w:bodyDiv w:val="1"/>
      <w:marLeft w:val="0"/>
      <w:marRight w:val="0"/>
      <w:marTop w:val="0"/>
      <w:marBottom w:val="0"/>
      <w:divBdr>
        <w:top w:val="none" w:sz="0" w:space="0" w:color="auto"/>
        <w:left w:val="none" w:sz="0" w:space="0" w:color="auto"/>
        <w:bottom w:val="none" w:sz="0" w:space="0" w:color="auto"/>
        <w:right w:val="none" w:sz="0" w:space="0" w:color="auto"/>
      </w:divBdr>
    </w:div>
    <w:div w:id="1374378460">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65674245">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73672144">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57310946">
      <w:bodyDiv w:val="1"/>
      <w:marLeft w:val="0"/>
      <w:marRight w:val="0"/>
      <w:marTop w:val="0"/>
      <w:marBottom w:val="0"/>
      <w:divBdr>
        <w:top w:val="none" w:sz="0" w:space="0" w:color="auto"/>
        <w:left w:val="none" w:sz="0" w:space="0" w:color="auto"/>
        <w:bottom w:val="none" w:sz="0" w:space="0" w:color="auto"/>
        <w:right w:val="none" w:sz="0" w:space="0" w:color="auto"/>
      </w:divBdr>
    </w:div>
    <w:div w:id="1920751164">
      <w:bodyDiv w:val="1"/>
      <w:marLeft w:val="0"/>
      <w:marRight w:val="0"/>
      <w:marTop w:val="0"/>
      <w:marBottom w:val="0"/>
      <w:divBdr>
        <w:top w:val="none" w:sz="0" w:space="0" w:color="auto"/>
        <w:left w:val="none" w:sz="0" w:space="0" w:color="auto"/>
        <w:bottom w:val="none" w:sz="0" w:space="0" w:color="auto"/>
        <w:right w:val="none" w:sz="0" w:space="0" w:color="auto"/>
      </w:divBdr>
    </w:div>
    <w:div w:id="1974676283">
      <w:bodyDiv w:val="1"/>
      <w:marLeft w:val="0"/>
      <w:marRight w:val="0"/>
      <w:marTop w:val="0"/>
      <w:marBottom w:val="0"/>
      <w:divBdr>
        <w:top w:val="none" w:sz="0" w:space="0" w:color="auto"/>
        <w:left w:val="none" w:sz="0" w:space="0" w:color="auto"/>
        <w:bottom w:val="none" w:sz="0" w:space="0" w:color="auto"/>
        <w:right w:val="none" w:sz="0" w:space="0" w:color="auto"/>
      </w:divBdr>
    </w:div>
    <w:div w:id="20409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baf820ada3c2453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A5257947</value>
    </field>
    <field name="Objective-Title">
      <value order="0">Service Desk &amp; Field Support Coordinator RD_Clerk Grade 3-4</value>
    </field>
    <field name="Objective-Description">
      <value order="0"/>
    </field>
    <field name="Objective-CreationStamp">
      <value order="0">2021-07-05T03:18:44Z</value>
    </field>
    <field name="Objective-IsApproved">
      <value order="0">false</value>
    </field>
    <field name="Objective-IsPublished">
      <value order="0">true</value>
    </field>
    <field name="Objective-DatePublished">
      <value order="0">2021-07-05T04:29:53Z</value>
    </field>
    <field name="Objective-ModificationStamp">
      <value order="0">2021-07-05T04:29:54Z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vA9007270</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72</TotalTime>
  <Pages>6</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3</cp:revision>
  <dcterms:created xsi:type="dcterms:W3CDTF">2021-07-05T04:18:00Z</dcterms:created>
  <dcterms:modified xsi:type="dcterms:W3CDTF">2021-07-05T05:29:00Z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A5257947</vt:lpwstr>
  </property>
  <property fmtid="{D5CDD505-2E9C-101B-9397-08002B2CF9AE}" pid="4" name="Objective-Title">
    <vt:lpwstr>Service Desk &amp; Field Support Coordinator RD_Clerk Grade 3-4</vt:lpwstr>
  </property>
  <property fmtid="{D5CDD505-2E9C-101B-9397-08002B2CF9AE}" pid="5" name="Objective-Description">
    <vt:lpwstr/>
  </property>
  <property fmtid="{D5CDD505-2E9C-101B-9397-08002B2CF9AE}" pid="6" name="Objective-CreationStamp">
    <vt:filetime>2021-07-05T03:18:44Z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2021-07-05T04:29:53Z</vt:filetime>
  </property>
  <property fmtid="{D5CDD505-2E9C-101B-9397-08002B2CF9AE}" pid="10" name="Objective-ModificationStamp">
    <vt:filetime>2021-07-05T04:29:54Z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vA9007270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