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4FC66ED8" w:rsidR="00801E41" w:rsidRDefault="00570342" w:rsidP="00C60D72">
            <w:pPr>
              <w:pStyle w:val="TableTextWhite"/>
            </w:pPr>
            <w:r>
              <w:t>Clerk Grade 9/10</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7031CB95" w:rsidR="00DB7774" w:rsidRPr="005508D3" w:rsidRDefault="005508D3" w:rsidP="003927AE">
      <w:pPr>
        <w:tabs>
          <w:tab w:val="left" w:pos="2925"/>
        </w:tabs>
        <w:rPr>
          <w:rStyle w:val="Heading1Char"/>
          <w:b w:val="0"/>
          <w:bCs w:val="0"/>
          <w:sz w:val="22"/>
          <w:szCs w:val="24"/>
        </w:rPr>
      </w:pPr>
      <w:r w:rsidRPr="005508D3">
        <w:rPr>
          <w:rStyle w:val="Heading1Char"/>
          <w:b w:val="0"/>
          <w:bCs w:val="0"/>
          <w:sz w:val="22"/>
          <w:szCs w:val="24"/>
        </w:rPr>
        <w:t>The Scrum Master is responsible for leading the way in Lean Agile methodologies and implementing principles and practices aimed at facilitating, developing, and improving teams’ functionality and productivity, ensuring timely and quality delivery of products.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1A520B0B" w14:textId="77777777"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Work closely with the Lean Agile Specialist and the DevOps and Release Unit to determine priorities and apply a range of Scrum processes to projects and sprint cycles that maximise benefits to the program including improved team productivity, increased work progress during sprints and enhanced product delivery success. </w:t>
      </w:r>
    </w:p>
    <w:p w14:paraId="587E6908" w14:textId="6F6B790E"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Guide and coach the teams and business stakeholders in relevant Agile/Scrum principles, team practices and processes to increase scrum maturity, support productive interactions, relationships and achievement of deliverables. </w:t>
      </w:r>
    </w:p>
    <w:p w14:paraId="04902F0D" w14:textId="74698E78"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Develop and implement processes, practices and tools that allow for multiple paths for delivery through simplified, consistent, reusable and flexible methodologies and perform reviews of the deliverables based on acceptance criteria.</w:t>
      </w:r>
    </w:p>
    <w:p w14:paraId="2A69C2B7" w14:textId="46B7E87A"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Work closely with Platform Managers to develop and facilitate team communication and collaboration strategies, including daily stand up meetings, iteration planning, team demonstrations, iteration retrospectives and planning events, to monitor work progress, manage issues arising and organise work to best support team productivity. </w:t>
      </w:r>
    </w:p>
    <w:p w14:paraId="365FBAC7" w14:textId="6CDA9CED"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Work with product managers and facilitate team understanding of the product road map and refinement of user stories to support estimations of time and effort for implementation and effective planning for sprint cycles. </w:t>
      </w:r>
    </w:p>
    <w:p w14:paraId="118D2509" w14:textId="1E618170"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Manage product backlogs and work with the product manager to prioritise the user stories and the Scrum teams to elaborate the user stories. </w:t>
      </w:r>
    </w:p>
    <w:p w14:paraId="6ED27B58" w14:textId="267AFBDC"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Develop and implement processes to identify and remove impediments and blockers to delivery success and support the team in collaborative problem solving and self-organisation to implement solutions. </w:t>
      </w:r>
    </w:p>
    <w:p w14:paraId="1BD2DE33" w14:textId="1DB0F0D1"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Support the team to develop and implement strategies that effectively deal with unpredictability, changes in requirements and product complexities to improve team agility and effectively meet delivery requirements. </w:t>
      </w:r>
    </w:p>
    <w:p w14:paraId="03A30E7E" w14:textId="3039E3EE"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Working collaboratively with Delivery Managers and other Digital Delivery Leads, build team capability and productivity aimed at addressing gaps and issues as they arise through timely coaching and mentoring strategies in areas including motivation, team dynamics, collaboration, work organisation, communications and effective use of processes and tools. </w:t>
      </w:r>
    </w:p>
    <w:p w14:paraId="5296B89B" w14:textId="5C018DC2" w:rsidR="005508D3" w:rsidRPr="005B7A5D" w:rsidRDefault="005508D3" w:rsidP="005508D3">
      <w:pPr>
        <w:pStyle w:val="Default"/>
        <w:numPr>
          <w:ilvl w:val="0"/>
          <w:numId w:val="11"/>
        </w:numPr>
        <w:spacing w:after="51"/>
        <w:rPr>
          <w:rFonts w:ascii="Arial" w:hAnsi="Arial" w:cs="Arial"/>
          <w:sz w:val="22"/>
          <w:szCs w:val="22"/>
        </w:rPr>
      </w:pPr>
      <w:r w:rsidRPr="005B7A5D">
        <w:rPr>
          <w:rFonts w:ascii="Arial" w:hAnsi="Arial" w:cs="Arial"/>
          <w:sz w:val="22"/>
          <w:szCs w:val="22"/>
        </w:rPr>
        <w:t xml:space="preserve">Place the customer at the centre of all decision making. </w:t>
      </w:r>
    </w:p>
    <w:p w14:paraId="7B34E63A" w14:textId="1A9AD5C3" w:rsidR="005508D3" w:rsidRPr="005B7A5D" w:rsidRDefault="005508D3" w:rsidP="005508D3">
      <w:pPr>
        <w:pStyle w:val="Default"/>
        <w:numPr>
          <w:ilvl w:val="0"/>
          <w:numId w:val="11"/>
        </w:numPr>
        <w:rPr>
          <w:rFonts w:ascii="Arial" w:hAnsi="Arial" w:cs="Arial"/>
          <w:sz w:val="22"/>
          <w:szCs w:val="22"/>
        </w:rPr>
      </w:pPr>
      <w:r w:rsidRPr="005B7A5D">
        <w:rPr>
          <w:rFonts w:ascii="Arial" w:hAnsi="Arial" w:cs="Arial"/>
          <w:sz w:val="22"/>
          <w:szCs w:val="22"/>
        </w:rPr>
        <w:t xml:space="preserve">Work with the Line Manager to develop and review meaningful performance management and development plans. </w:t>
      </w:r>
    </w:p>
    <w:p w14:paraId="4C1DDB8C" w14:textId="2D966327" w:rsidR="003927AE" w:rsidRPr="005B7A5D" w:rsidRDefault="003927AE" w:rsidP="005508D3">
      <w:pPr>
        <w:pStyle w:val="ListParagraph"/>
        <w:tabs>
          <w:tab w:val="left" w:pos="2925"/>
        </w:tabs>
        <w:rPr>
          <w:rFonts w:cs="Arial"/>
          <w:sz w:val="24"/>
          <w:szCs w:val="24"/>
        </w:rPr>
      </w:pPr>
    </w:p>
    <w:p w14:paraId="7D66AA6D" w14:textId="66A520F0" w:rsidR="005B7A5D" w:rsidRDefault="005B7A5D" w:rsidP="005508D3">
      <w:pPr>
        <w:pStyle w:val="ListParagraph"/>
        <w:tabs>
          <w:tab w:val="left" w:pos="2925"/>
        </w:tabs>
        <w:rPr>
          <w:rFonts w:cs="Arial"/>
        </w:rPr>
      </w:pPr>
    </w:p>
    <w:p w14:paraId="67ED9571" w14:textId="208AEC5D" w:rsidR="005B7A5D" w:rsidRDefault="005B7A5D" w:rsidP="005508D3">
      <w:pPr>
        <w:pStyle w:val="ListParagraph"/>
        <w:tabs>
          <w:tab w:val="left" w:pos="2925"/>
        </w:tabs>
        <w:rPr>
          <w:rFonts w:cs="Arial"/>
        </w:rPr>
      </w:pPr>
    </w:p>
    <w:p w14:paraId="0C9A7D3C" w14:textId="77777777" w:rsidR="005B7A5D" w:rsidRPr="002805EE" w:rsidRDefault="005B7A5D" w:rsidP="005508D3">
      <w:pPr>
        <w:pStyle w:val="ListParagraph"/>
        <w:tabs>
          <w:tab w:val="left" w:pos="2925"/>
        </w:tabs>
        <w:rPr>
          <w:rFonts w:cs="Arial"/>
        </w:rPr>
      </w:pP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22D6CEF5" w14:textId="77777777" w:rsidR="005B7A5D" w:rsidRPr="005B7A5D" w:rsidRDefault="005B7A5D" w:rsidP="005B7A5D">
      <w:pPr>
        <w:pStyle w:val="Default"/>
        <w:numPr>
          <w:ilvl w:val="0"/>
          <w:numId w:val="12"/>
        </w:numPr>
        <w:spacing w:after="49"/>
        <w:rPr>
          <w:rFonts w:ascii="Arial" w:hAnsi="Arial" w:cs="Arial"/>
          <w:sz w:val="22"/>
          <w:szCs w:val="22"/>
        </w:rPr>
      </w:pPr>
      <w:r w:rsidRPr="005B7A5D">
        <w:rPr>
          <w:rFonts w:ascii="Arial" w:hAnsi="Arial" w:cs="Arial"/>
          <w:sz w:val="22"/>
          <w:szCs w:val="22"/>
        </w:rPr>
        <w:t xml:space="preserve">Implementing effective strategies to gain optimum benefits from implementation of the agile methodology and Scrum processes within the Digital Platform program. </w:t>
      </w:r>
    </w:p>
    <w:p w14:paraId="25CE59A8" w14:textId="3A68F8FC" w:rsidR="005B7A5D" w:rsidRPr="005B7A5D" w:rsidRDefault="005B7A5D" w:rsidP="005B7A5D">
      <w:pPr>
        <w:pStyle w:val="Default"/>
        <w:numPr>
          <w:ilvl w:val="0"/>
          <w:numId w:val="12"/>
        </w:numPr>
        <w:spacing w:after="49"/>
        <w:rPr>
          <w:rFonts w:ascii="Arial" w:hAnsi="Arial" w:cs="Arial"/>
          <w:sz w:val="22"/>
          <w:szCs w:val="22"/>
        </w:rPr>
      </w:pPr>
      <w:r w:rsidRPr="005B7A5D">
        <w:rPr>
          <w:rFonts w:ascii="Arial" w:hAnsi="Arial" w:cs="Arial"/>
          <w:sz w:val="22"/>
          <w:szCs w:val="22"/>
        </w:rPr>
        <w:t xml:space="preserve">Facilitating team collaboration to monitor daily progress and changes and creatively addressing issues as these arise. </w:t>
      </w:r>
    </w:p>
    <w:p w14:paraId="785254E6" w14:textId="493432AE" w:rsidR="005B7A5D" w:rsidRPr="005B7A5D" w:rsidRDefault="005B7A5D" w:rsidP="005B7A5D">
      <w:pPr>
        <w:pStyle w:val="Default"/>
        <w:numPr>
          <w:ilvl w:val="0"/>
          <w:numId w:val="12"/>
        </w:numPr>
        <w:spacing w:after="49"/>
        <w:rPr>
          <w:rFonts w:ascii="Arial" w:hAnsi="Arial" w:cs="Arial"/>
          <w:sz w:val="22"/>
          <w:szCs w:val="22"/>
        </w:rPr>
      </w:pPr>
      <w:r w:rsidRPr="005B7A5D">
        <w:rPr>
          <w:rFonts w:ascii="Arial" w:hAnsi="Arial" w:cs="Arial"/>
          <w:sz w:val="22"/>
          <w:szCs w:val="22"/>
        </w:rPr>
        <w:t xml:space="preserve">Multiple technical and business stakeholders all with differing requirements need to be consulted and informed in timely, transparent and professional manner. </w:t>
      </w:r>
    </w:p>
    <w:p w14:paraId="098FF7B7" w14:textId="493F9E6F" w:rsidR="005B7A5D" w:rsidRPr="005B7A5D" w:rsidRDefault="005B7A5D" w:rsidP="005B7A5D">
      <w:pPr>
        <w:pStyle w:val="Default"/>
        <w:numPr>
          <w:ilvl w:val="0"/>
          <w:numId w:val="12"/>
        </w:numPr>
        <w:spacing w:after="49"/>
        <w:rPr>
          <w:rFonts w:ascii="Arial" w:hAnsi="Arial" w:cs="Arial"/>
          <w:sz w:val="22"/>
          <w:szCs w:val="22"/>
        </w:rPr>
      </w:pPr>
      <w:r w:rsidRPr="005B7A5D">
        <w:rPr>
          <w:rFonts w:ascii="Arial" w:hAnsi="Arial" w:cs="Arial"/>
          <w:sz w:val="22"/>
          <w:szCs w:val="22"/>
        </w:rPr>
        <w:t xml:space="preserve">Balancing competing priorities, maintaining momentum, team motivation and productivity on a range of projects subject to critical deadlines, interdependencies and changing requirements. </w:t>
      </w:r>
    </w:p>
    <w:p w14:paraId="731EDA34" w14:textId="23B25188" w:rsidR="005B7A5D" w:rsidRPr="005B7A5D" w:rsidRDefault="005B7A5D" w:rsidP="005B7A5D">
      <w:pPr>
        <w:pStyle w:val="Default"/>
        <w:numPr>
          <w:ilvl w:val="0"/>
          <w:numId w:val="12"/>
        </w:numPr>
        <w:rPr>
          <w:rFonts w:ascii="Arial" w:hAnsi="Arial" w:cs="Arial"/>
          <w:sz w:val="22"/>
          <w:szCs w:val="22"/>
        </w:rPr>
      </w:pPr>
      <w:r w:rsidRPr="005B7A5D">
        <w:rPr>
          <w:rFonts w:ascii="Arial" w:hAnsi="Arial" w:cs="Arial"/>
          <w:sz w:val="22"/>
          <w:szCs w:val="22"/>
        </w:rPr>
        <w:t xml:space="preserve">Optimising team capability to respond flexibly and work collaboratively to improve efficiencies and delivery success without compromising quality through coaching, facilitation, motivation and support rather than relying on the more traditional directive project management and control techniques. </w:t>
      </w:r>
    </w:p>
    <w:p w14:paraId="31C41C46" w14:textId="32B107F0" w:rsidR="003927AE" w:rsidRPr="002805EE" w:rsidRDefault="003927AE" w:rsidP="005B7A5D">
      <w:pPr>
        <w:pStyle w:val="ListParagraph"/>
        <w:tabs>
          <w:tab w:val="left" w:pos="2925"/>
        </w:tabs>
        <w:rPr>
          <w:rFonts w:ascii="Georgia" w:hAnsi="Georgia"/>
        </w:rPr>
      </w:pP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5B7A5D" w:rsidRDefault="003927AE" w:rsidP="00A72C86">
            <w:pPr>
              <w:pStyle w:val="TableText"/>
            </w:pPr>
            <w:r w:rsidRPr="005B7A5D">
              <w:t>Manager</w:t>
            </w:r>
          </w:p>
        </w:tc>
        <w:tc>
          <w:tcPr>
            <w:tcW w:w="7256" w:type="dxa"/>
            <w:tcBorders>
              <w:top w:val="single" w:sz="8" w:space="0" w:color="auto"/>
              <w:bottom w:val="single" w:sz="8" w:space="0" w:color="BCBEC0"/>
            </w:tcBorders>
          </w:tcPr>
          <w:p w14:paraId="2FB9789F" w14:textId="77777777" w:rsidR="005B7A5D" w:rsidRDefault="005B7A5D" w:rsidP="005B7A5D">
            <w:pPr>
              <w:pStyle w:val="TableText"/>
              <w:numPr>
                <w:ilvl w:val="0"/>
                <w:numId w:val="3"/>
              </w:numPr>
            </w:pPr>
            <w:r>
              <w:t xml:space="preserve">Receive leadership, direction and advice </w:t>
            </w:r>
          </w:p>
          <w:p w14:paraId="795530EB" w14:textId="3FAED94D" w:rsidR="005B7A5D" w:rsidRDefault="005B7A5D" w:rsidP="005B7A5D">
            <w:pPr>
              <w:pStyle w:val="TableText"/>
              <w:numPr>
                <w:ilvl w:val="0"/>
                <w:numId w:val="3"/>
              </w:numPr>
            </w:pPr>
            <w:r>
              <w:t xml:space="preserve">Escalate issues, advise and receive instructions. </w:t>
            </w:r>
          </w:p>
          <w:p w14:paraId="2F56547D" w14:textId="26258C8E" w:rsidR="003927AE" w:rsidRPr="00A15CDB" w:rsidRDefault="005B7A5D" w:rsidP="005B7A5D">
            <w:pPr>
              <w:pStyle w:val="TableText"/>
              <w:numPr>
                <w:ilvl w:val="0"/>
                <w:numId w:val="3"/>
              </w:numPr>
            </w:pPr>
            <w:r>
              <w:t xml:space="preserve">Contribute to and support with decision making </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5B7A5D" w:rsidRDefault="003927AE" w:rsidP="00A72C86">
            <w:pPr>
              <w:pStyle w:val="TableText"/>
            </w:pPr>
            <w:r w:rsidRPr="005B7A5D">
              <w:t xml:space="preserve">Work </w:t>
            </w:r>
            <w:r w:rsidR="002805EE" w:rsidRPr="005B7A5D">
              <w:t>T</w:t>
            </w:r>
            <w:r w:rsidRPr="005B7A5D">
              <w:t>eam</w:t>
            </w:r>
          </w:p>
        </w:tc>
        <w:tc>
          <w:tcPr>
            <w:tcW w:w="7256" w:type="dxa"/>
            <w:tcBorders>
              <w:top w:val="single" w:sz="8" w:space="0" w:color="auto"/>
              <w:bottom w:val="single" w:sz="8" w:space="0" w:color="BCBEC0"/>
            </w:tcBorders>
          </w:tcPr>
          <w:p w14:paraId="3A54035A" w14:textId="77777777" w:rsidR="005B7A5D" w:rsidRPr="005B7A5D" w:rsidRDefault="005B7A5D" w:rsidP="005B7A5D">
            <w:pPr>
              <w:pStyle w:val="TableText"/>
              <w:numPr>
                <w:ilvl w:val="0"/>
                <w:numId w:val="3"/>
              </w:numPr>
            </w:pPr>
            <w:r w:rsidRPr="005B7A5D">
              <w:t xml:space="preserve">Coach and advise on Agile/ Scrum principles and practices. </w:t>
            </w:r>
          </w:p>
          <w:p w14:paraId="441159D4" w14:textId="619485BA" w:rsidR="005B7A5D" w:rsidRPr="005B7A5D" w:rsidRDefault="005B7A5D" w:rsidP="005B7A5D">
            <w:pPr>
              <w:pStyle w:val="TableText"/>
              <w:numPr>
                <w:ilvl w:val="0"/>
                <w:numId w:val="3"/>
              </w:numPr>
            </w:pPr>
            <w:r w:rsidRPr="005B7A5D">
              <w:t xml:space="preserve">Motivate, mentor and facilitate strategies to achieve project deliverables. </w:t>
            </w:r>
          </w:p>
          <w:p w14:paraId="68AFF474" w14:textId="07DCB9C3" w:rsidR="005B7A5D" w:rsidRPr="005B7A5D" w:rsidRDefault="005B7A5D" w:rsidP="005B7A5D">
            <w:pPr>
              <w:pStyle w:val="TableText"/>
              <w:numPr>
                <w:ilvl w:val="0"/>
                <w:numId w:val="3"/>
              </w:numPr>
            </w:pPr>
            <w:r w:rsidRPr="005B7A5D">
              <w:t xml:space="preserve">Work collaboratively to solve issues and align cross team functional work and interdependencies. </w:t>
            </w:r>
          </w:p>
          <w:p w14:paraId="4141E932" w14:textId="5ABC6C68" w:rsidR="005B7A5D" w:rsidRPr="005B7A5D" w:rsidRDefault="005B7A5D" w:rsidP="005B7A5D">
            <w:pPr>
              <w:pStyle w:val="TableText"/>
              <w:numPr>
                <w:ilvl w:val="0"/>
                <w:numId w:val="3"/>
              </w:numPr>
            </w:pPr>
            <w:r w:rsidRPr="005B7A5D">
              <w:t xml:space="preserve">Participate in meetings to obtain the work group perspective, creatively problem solve and coordinate outcomes. </w:t>
            </w:r>
          </w:p>
          <w:p w14:paraId="4B53CC58" w14:textId="371B1D10" w:rsidR="003927AE" w:rsidRPr="00A15CDB" w:rsidRDefault="005B7A5D" w:rsidP="005B7A5D">
            <w:pPr>
              <w:pStyle w:val="TableText"/>
              <w:numPr>
                <w:ilvl w:val="0"/>
                <w:numId w:val="3"/>
              </w:numPr>
            </w:pPr>
            <w:r w:rsidRPr="005B7A5D">
              <w:t>Facilitate team collaboration events including daily stand up meetings</w:t>
            </w:r>
            <w:r>
              <w:rPr>
                <w:rFonts w:ascii="Calibri" w:hAnsi="Calibri" w:cs="Calibri"/>
              </w:rPr>
              <w:t xml:space="preserve"> </w:t>
            </w:r>
          </w:p>
        </w:tc>
      </w:tr>
      <w:tr w:rsidR="003927AE" w:rsidRPr="00A8245E" w14:paraId="3B55100D" w14:textId="77777777" w:rsidTr="00E55704">
        <w:tc>
          <w:tcPr>
            <w:tcW w:w="3601" w:type="dxa"/>
            <w:shd w:val="clear" w:color="auto" w:fill="BCBEC0"/>
          </w:tcPr>
          <w:p w14:paraId="6CA1A5CF" w14:textId="77777777" w:rsidR="003927AE" w:rsidRPr="005B7A5D" w:rsidRDefault="003927AE" w:rsidP="00A72C86">
            <w:pPr>
              <w:pStyle w:val="TableText"/>
              <w:keepNext/>
              <w:rPr>
                <w:b/>
              </w:rPr>
            </w:pPr>
            <w:r w:rsidRPr="005B7A5D">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5B7A5D" w:rsidRDefault="003927AE" w:rsidP="00A72C86">
            <w:pPr>
              <w:pStyle w:val="TableText"/>
            </w:pPr>
            <w:r w:rsidRPr="005B7A5D">
              <w:t>Vendors/Service Providers and Consultants</w:t>
            </w:r>
          </w:p>
        </w:tc>
        <w:tc>
          <w:tcPr>
            <w:tcW w:w="7256" w:type="dxa"/>
            <w:tcBorders>
              <w:top w:val="single" w:sz="8" w:space="0" w:color="auto"/>
              <w:bottom w:val="single" w:sz="8" w:space="0" w:color="BCBEC0"/>
            </w:tcBorders>
          </w:tcPr>
          <w:p w14:paraId="50FC1091" w14:textId="6A8D77CF" w:rsidR="003927AE" w:rsidRPr="00A15CDB" w:rsidRDefault="005B7A5D" w:rsidP="005B7A5D">
            <w:pPr>
              <w:pStyle w:val="TableText"/>
              <w:numPr>
                <w:ilvl w:val="0"/>
                <w:numId w:val="3"/>
              </w:numPr>
            </w:pPr>
            <w:r>
              <w:t xml:space="preserve">Manage relationships and performance as required and align requirements with project timeframes and delivery </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0DC4BD02" w14:textId="77777777" w:rsidR="005B7A5D" w:rsidRPr="005B7A5D" w:rsidRDefault="005B7A5D" w:rsidP="005B7A5D">
      <w:pPr>
        <w:pStyle w:val="Default"/>
        <w:numPr>
          <w:ilvl w:val="0"/>
          <w:numId w:val="12"/>
        </w:numPr>
        <w:spacing w:after="49"/>
        <w:rPr>
          <w:rFonts w:ascii="Arial" w:hAnsi="Arial" w:cs="Arial"/>
          <w:sz w:val="22"/>
          <w:szCs w:val="22"/>
        </w:rPr>
      </w:pPr>
      <w:r w:rsidRPr="005B7A5D">
        <w:rPr>
          <w:rFonts w:ascii="Arial" w:hAnsi="Arial" w:cs="Arial"/>
          <w:sz w:val="22"/>
          <w:szCs w:val="22"/>
        </w:rPr>
        <w:t xml:space="preserve">Makes decisions on complex and sensitive issues that are based on professional judgement, evaluating risks and in the context of a complex and changing environment. </w:t>
      </w:r>
    </w:p>
    <w:p w14:paraId="1EA4A2CD" w14:textId="77777777" w:rsidR="005B7A5D" w:rsidRDefault="005B7A5D" w:rsidP="005B7A5D">
      <w:pPr>
        <w:pStyle w:val="Default"/>
        <w:numPr>
          <w:ilvl w:val="0"/>
          <w:numId w:val="12"/>
        </w:numPr>
        <w:spacing w:after="49"/>
        <w:rPr>
          <w:rFonts w:ascii="Arial" w:hAnsi="Arial" w:cs="Arial"/>
          <w:sz w:val="22"/>
          <w:szCs w:val="22"/>
        </w:rPr>
      </w:pPr>
      <w:r w:rsidRPr="005B7A5D">
        <w:rPr>
          <w:rFonts w:ascii="Arial" w:hAnsi="Arial" w:cs="Arial"/>
          <w:sz w:val="22"/>
          <w:szCs w:val="22"/>
        </w:rPr>
        <w:t xml:space="preserve"> Matters requiring a higher level of approval are referred to the Reporting Line Manager.</w:t>
      </w:r>
    </w:p>
    <w:p w14:paraId="4F93A561" w14:textId="1090D0BD" w:rsidR="005B7A5D" w:rsidRPr="005B7A5D" w:rsidRDefault="005B7A5D" w:rsidP="005B7A5D">
      <w:pPr>
        <w:pStyle w:val="Default"/>
        <w:spacing w:after="49"/>
        <w:ind w:left="720"/>
        <w:rPr>
          <w:rFonts w:ascii="Arial" w:hAnsi="Arial" w:cs="Arial"/>
          <w:sz w:val="22"/>
          <w:szCs w:val="22"/>
        </w:rPr>
      </w:pPr>
      <w:r w:rsidRPr="005B7A5D">
        <w:rPr>
          <w:rFonts w:ascii="Arial" w:hAnsi="Arial" w:cs="Arial"/>
          <w:sz w:val="22"/>
          <w:szCs w:val="22"/>
        </w:rPr>
        <w:t xml:space="preserve"> </w:t>
      </w:r>
    </w:p>
    <w:p w14:paraId="2B50B642" w14:textId="151C3946" w:rsidR="003927AE" w:rsidRPr="00614552" w:rsidRDefault="003927AE" w:rsidP="003927AE">
      <w:pPr>
        <w:pStyle w:val="Heading2"/>
      </w:pPr>
      <w:r w:rsidRPr="00614552">
        <w:t>Reporting line</w:t>
      </w:r>
    </w:p>
    <w:p w14:paraId="526CD752" w14:textId="5B2923A2" w:rsidR="003927AE" w:rsidRPr="00603D53" w:rsidRDefault="005B7A5D" w:rsidP="003927AE">
      <w:pPr>
        <w:rPr>
          <w:rFonts w:cs="Arial"/>
          <w:szCs w:val="26"/>
        </w:rPr>
      </w:pPr>
      <w:r>
        <w:rPr>
          <w:rFonts w:cs="Arial"/>
          <w:szCs w:val="26"/>
        </w:rPr>
        <w:t>n/a</w:t>
      </w:r>
    </w:p>
    <w:p w14:paraId="348D3A5C" w14:textId="77777777" w:rsidR="003927AE" w:rsidRPr="00614552" w:rsidRDefault="003927AE" w:rsidP="003927AE">
      <w:pPr>
        <w:pStyle w:val="Heading2"/>
      </w:pPr>
      <w:r w:rsidRPr="00614552">
        <w:lastRenderedPageBreak/>
        <w:t>Direct reports</w:t>
      </w:r>
    </w:p>
    <w:p w14:paraId="29049F89" w14:textId="16B96C46" w:rsidR="003927AE" w:rsidRPr="005B7A5D" w:rsidRDefault="005B7A5D" w:rsidP="003927AE">
      <w:pPr>
        <w:rPr>
          <w:rFonts w:cs="Arial"/>
          <w:szCs w:val="26"/>
        </w:rPr>
      </w:pPr>
      <w:r w:rsidRPr="005B7A5D">
        <w:rPr>
          <w:rFonts w:cs="Arial"/>
          <w:szCs w:val="26"/>
        </w:rPr>
        <w:t>n/a</w:t>
      </w:r>
    </w:p>
    <w:p w14:paraId="31690284" w14:textId="77777777" w:rsidR="003927AE" w:rsidRPr="00614552" w:rsidRDefault="003927AE" w:rsidP="003927AE">
      <w:pPr>
        <w:pStyle w:val="Heading2"/>
      </w:pPr>
      <w:r w:rsidRPr="00614552">
        <w:t>Budget/Expenditure</w:t>
      </w:r>
    </w:p>
    <w:p w14:paraId="24926130" w14:textId="7FCF8F27" w:rsidR="003927AE" w:rsidRDefault="005B7A5D" w:rsidP="003927AE">
      <w:pPr>
        <w:rPr>
          <w:rFonts w:cs="Arial"/>
          <w:szCs w:val="26"/>
        </w:rPr>
      </w:pPr>
      <w:r>
        <w:rPr>
          <w:rFonts w:cs="Arial"/>
          <w:szCs w:val="26"/>
        </w:rPr>
        <w:t>n/a</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5B7A5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5B7A5D" w14:paraId="6C984D2A" w14:textId="77777777" w:rsidTr="00F8130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051C853F" w14:textId="77777777" w:rsidR="005B7A5D" w:rsidRPr="00DB7774" w:rsidRDefault="005B7A5D" w:rsidP="00DB7774">
            <w:pPr>
              <w:spacing w:before="120" w:line="276" w:lineRule="auto"/>
              <w:rPr>
                <w:rFonts w:ascii="Arial" w:hAnsi="Arial" w:cs="Arial"/>
                <w:b w:val="0"/>
                <w:bCs w:val="0"/>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p w14:paraId="5A9498F1" w14:textId="3A1B8689" w:rsidR="005B7A5D" w:rsidRPr="00DB7774" w:rsidRDefault="005B7A5D" w:rsidP="00DB7774">
            <w:pPr>
              <w:spacing w:before="120" w:line="276" w:lineRule="auto"/>
              <w:rPr>
                <w:rFonts w:ascii="Arial" w:hAnsi="Arial" w:cs="Arial"/>
                <w:sz w:val="20"/>
                <w:szCs w:val="20"/>
              </w:rPr>
            </w:pPr>
          </w:p>
        </w:tc>
        <w:tc>
          <w:tcPr>
            <w:tcW w:w="1751" w:type="dxa"/>
            <w:tcBorders>
              <w:top w:val="single" w:sz="18" w:space="0" w:color="auto"/>
              <w:bottom w:val="single" w:sz="8" w:space="0" w:color="D9D9D9" w:themeColor="background1" w:themeShade="D9"/>
            </w:tcBorders>
          </w:tcPr>
          <w:p w14:paraId="31AD8D08" w14:textId="77777777" w:rsidR="005B7A5D" w:rsidRPr="005B7A5D" w:rsidRDefault="005B7A5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7A5D">
              <w:rPr>
                <w:rFonts w:ascii="Arial" w:hAnsi="Arial" w:cs="Arial"/>
                <w:b/>
                <w:bCs/>
                <w:sz w:val="20"/>
                <w:szCs w:val="20"/>
              </w:rPr>
              <w:t>Display Resilience and Courage</w:t>
            </w:r>
            <w:r w:rsidRPr="005B7A5D">
              <w:rPr>
                <w:rFonts w:ascii="Arial" w:hAnsi="Arial" w:cs="Arial"/>
                <w:b/>
                <w:bCs/>
                <w:sz w:val="20"/>
                <w:szCs w:val="20"/>
              </w:rPr>
              <w:tab/>
            </w:r>
          </w:p>
          <w:p w14:paraId="11BC3E14" w14:textId="52EB8DD9" w:rsidR="005B7A5D" w:rsidRPr="00DB7774" w:rsidRDefault="005B7A5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Be open and honest, prepared to express your views, and willing to accept and commit to change</w:t>
            </w:r>
          </w:p>
        </w:tc>
        <w:tc>
          <w:tcPr>
            <w:tcW w:w="6049" w:type="dxa"/>
            <w:tcBorders>
              <w:top w:val="single" w:sz="18" w:space="0" w:color="auto"/>
              <w:bottom w:val="single" w:sz="8" w:space="0" w:color="D9D9D9" w:themeColor="background1" w:themeShade="D9"/>
            </w:tcBorders>
          </w:tcPr>
          <w:p w14:paraId="3619B3E9" w14:textId="77777777" w:rsidR="005B7A5D" w:rsidRDefault="005B7A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Be flexible, show initiative and respond quickly when situations change</w:t>
            </w:r>
            <w:r w:rsidRPr="005B7A5D">
              <w:rPr>
                <w:rFonts w:ascii="Arial" w:hAnsi="Arial" w:cs="Arial"/>
                <w:sz w:val="20"/>
                <w:szCs w:val="20"/>
              </w:rPr>
              <w:tab/>
            </w:r>
          </w:p>
          <w:p w14:paraId="13D1DB1E" w14:textId="77777777" w:rsidR="005B7A5D" w:rsidRDefault="005B7A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Give frank and honest feedback and advice</w:t>
            </w:r>
          </w:p>
          <w:p w14:paraId="36A54F57" w14:textId="77777777" w:rsidR="005B7A5D" w:rsidRDefault="005B7A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Listen when ideas are challenged, seek to understand the nature of the comment and respond appropriately</w:t>
            </w:r>
            <w:r w:rsidRPr="005B7A5D">
              <w:rPr>
                <w:rFonts w:ascii="Arial" w:hAnsi="Arial" w:cs="Arial"/>
                <w:sz w:val="20"/>
                <w:szCs w:val="20"/>
              </w:rPr>
              <w:tab/>
            </w:r>
          </w:p>
          <w:p w14:paraId="2F1907CE" w14:textId="77777777" w:rsidR="005B7A5D" w:rsidRDefault="005B7A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Raise and work through challenging issues and seek alternatives</w:t>
            </w:r>
            <w:r w:rsidRPr="005B7A5D">
              <w:rPr>
                <w:rFonts w:ascii="Arial" w:hAnsi="Arial" w:cs="Arial"/>
                <w:sz w:val="20"/>
                <w:szCs w:val="20"/>
              </w:rPr>
              <w:tab/>
            </w:r>
          </w:p>
          <w:p w14:paraId="4A21A140" w14:textId="7EE194DE" w:rsidR="005B7A5D" w:rsidRPr="00DB7774" w:rsidRDefault="005B7A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Remain composed and calm under pressure and in challenging situations</w:t>
            </w:r>
          </w:p>
        </w:tc>
        <w:tc>
          <w:tcPr>
            <w:tcW w:w="1315" w:type="dxa"/>
            <w:tcBorders>
              <w:top w:val="single" w:sz="18" w:space="0" w:color="auto"/>
              <w:bottom w:val="single" w:sz="8" w:space="0" w:color="D9D9D9" w:themeColor="background1" w:themeShade="D9"/>
              <w:right w:val="single" w:sz="8" w:space="0" w:color="FFFFFF" w:themeColor="background1"/>
            </w:tcBorders>
          </w:tcPr>
          <w:p w14:paraId="0733E301" w14:textId="493E6D81" w:rsidR="005B7A5D" w:rsidRPr="00DB7774" w:rsidRDefault="005B7A5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F81304" w14:paraId="0E9389A9" w14:textId="77777777" w:rsidTr="00F81304">
        <w:trPr>
          <w:trHeight w:val="16"/>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bottom w:val="nil"/>
            </w:tcBorders>
          </w:tcPr>
          <w:p w14:paraId="29D5401E" w14:textId="4D051574" w:rsidR="00F81304" w:rsidRPr="00DB7774" w:rsidRDefault="00F81304" w:rsidP="00DB7774">
            <w:pPr>
              <w:spacing w:before="120" w:line="276" w:lineRule="auto"/>
              <w:rPr>
                <w:rFonts w:ascii="Arial" w:hAnsi="Arial" w:cs="Arial"/>
                <w:sz w:val="20"/>
                <w:szCs w:val="20"/>
              </w:rPr>
            </w:pPr>
            <w:r w:rsidRPr="00C978B9">
              <w:rPr>
                <w:noProof/>
                <w:lang w:eastAsia="en-AU"/>
              </w:rPr>
              <w:drawing>
                <wp:inline distT="0" distB="0" distL="0" distR="0" wp14:anchorId="5714DB41" wp14:editId="562C3DD4">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3AE55A59" w14:textId="77777777" w:rsidR="00F81304" w:rsidRPr="005B7A5D" w:rsidRDefault="00F813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7A5D">
              <w:rPr>
                <w:rFonts w:ascii="Arial" w:hAnsi="Arial" w:cs="Arial"/>
                <w:b/>
                <w:bCs/>
                <w:sz w:val="20"/>
                <w:szCs w:val="20"/>
              </w:rPr>
              <w:t>Commit to Customer Service</w:t>
            </w:r>
            <w:r w:rsidRPr="005B7A5D">
              <w:rPr>
                <w:rFonts w:ascii="Arial" w:hAnsi="Arial" w:cs="Arial"/>
                <w:b/>
                <w:bCs/>
                <w:sz w:val="20"/>
                <w:szCs w:val="20"/>
              </w:rPr>
              <w:tab/>
            </w:r>
          </w:p>
          <w:p w14:paraId="75097C1D" w14:textId="4B1D3775" w:rsidR="00F81304" w:rsidRPr="00DB7774" w:rsidRDefault="00F813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 xml:space="preserve">Provide customer-focused services in line with public sector and </w:t>
            </w:r>
            <w:r w:rsidRPr="005B7A5D">
              <w:rPr>
                <w:rFonts w:ascii="Arial" w:hAnsi="Arial" w:cs="Arial"/>
                <w:sz w:val="20"/>
                <w:szCs w:val="20"/>
              </w:rPr>
              <w:lastRenderedPageBreak/>
              <w:t>organisational objectives</w:t>
            </w:r>
          </w:p>
        </w:tc>
        <w:tc>
          <w:tcPr>
            <w:tcW w:w="6049" w:type="dxa"/>
            <w:tcBorders>
              <w:top w:val="single" w:sz="8" w:space="0" w:color="D9D9D9" w:themeColor="background1" w:themeShade="D9"/>
              <w:bottom w:val="single" w:sz="8" w:space="0" w:color="D9D9D9" w:themeColor="background1" w:themeShade="D9"/>
            </w:tcBorders>
          </w:tcPr>
          <w:p w14:paraId="71F9617C" w14:textId="77777777" w:rsidR="00F8130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lastRenderedPageBreak/>
              <w:t>Take responsibility for delivering high-quality customer-focused services</w:t>
            </w:r>
            <w:r w:rsidRPr="005B7A5D">
              <w:rPr>
                <w:rFonts w:ascii="Arial" w:hAnsi="Arial" w:cs="Arial"/>
                <w:sz w:val="20"/>
                <w:szCs w:val="20"/>
              </w:rPr>
              <w:tab/>
            </w:r>
          </w:p>
          <w:p w14:paraId="199426FD" w14:textId="77777777" w:rsidR="00F8130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Design processes and policies based on the customer’s point of view and needs</w:t>
            </w:r>
            <w:r w:rsidRPr="005B7A5D">
              <w:rPr>
                <w:rFonts w:ascii="Arial" w:hAnsi="Arial" w:cs="Arial"/>
                <w:sz w:val="20"/>
                <w:szCs w:val="20"/>
              </w:rPr>
              <w:tab/>
            </w:r>
          </w:p>
          <w:p w14:paraId="5134CF3A" w14:textId="77777777" w:rsidR="00F8130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Understand and measure what is important to customers</w:t>
            </w:r>
            <w:r w:rsidRPr="005B7A5D">
              <w:rPr>
                <w:rFonts w:ascii="Arial" w:hAnsi="Arial" w:cs="Arial"/>
                <w:sz w:val="20"/>
                <w:szCs w:val="20"/>
              </w:rPr>
              <w:tab/>
            </w:r>
          </w:p>
          <w:p w14:paraId="57EA613C" w14:textId="77777777" w:rsidR="00F8130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Use data and information to monitor and improve customer service delivery</w:t>
            </w:r>
            <w:r w:rsidRPr="005B7A5D">
              <w:rPr>
                <w:rFonts w:ascii="Arial" w:hAnsi="Arial" w:cs="Arial"/>
                <w:sz w:val="20"/>
                <w:szCs w:val="20"/>
              </w:rPr>
              <w:tab/>
            </w:r>
          </w:p>
          <w:p w14:paraId="1FBE4199" w14:textId="77777777" w:rsidR="00F8130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lastRenderedPageBreak/>
              <w:t>Find opportunities to cooperate with internal and external stakeholders to improve outcomes for customers</w:t>
            </w:r>
            <w:r w:rsidRPr="005B7A5D">
              <w:rPr>
                <w:rFonts w:ascii="Arial" w:hAnsi="Arial" w:cs="Arial"/>
                <w:sz w:val="20"/>
                <w:szCs w:val="20"/>
              </w:rPr>
              <w:tab/>
            </w:r>
          </w:p>
          <w:p w14:paraId="21C61CD0" w14:textId="77777777" w:rsidR="00F8130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Maintain relationships with key customers in area of expertise</w:t>
            </w:r>
            <w:r w:rsidRPr="005B7A5D">
              <w:rPr>
                <w:rFonts w:ascii="Arial" w:hAnsi="Arial" w:cs="Arial"/>
                <w:sz w:val="20"/>
                <w:szCs w:val="20"/>
              </w:rPr>
              <w:tab/>
            </w:r>
          </w:p>
          <w:p w14:paraId="4755B4B8" w14:textId="60E73AC2" w:rsidR="00F81304" w:rsidRPr="00DB7774" w:rsidRDefault="00F81304"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Connect and collaborate with relevant customers within the community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3CFCA6D8" w:rsidR="00F81304" w:rsidRPr="00DB7774" w:rsidRDefault="00F813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Adept</w:t>
            </w:r>
          </w:p>
        </w:tc>
      </w:tr>
      <w:tr w:rsidR="00F81304" w14:paraId="36DD649C" w14:textId="77777777" w:rsidTr="00F8130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nil"/>
            </w:tcBorders>
          </w:tcPr>
          <w:p w14:paraId="2B37F3F9" w14:textId="77777777" w:rsidR="00F81304" w:rsidRPr="00C978B9" w:rsidRDefault="00F81304"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7EF9667C" w14:textId="77777777" w:rsidR="00F81304" w:rsidRPr="005B7A5D" w:rsidRDefault="00F81304" w:rsidP="005B7A5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7A5D">
              <w:rPr>
                <w:rFonts w:ascii="Arial" w:hAnsi="Arial" w:cs="Arial"/>
                <w:b/>
                <w:bCs/>
                <w:sz w:val="20"/>
                <w:szCs w:val="20"/>
              </w:rPr>
              <w:t>Work Collaboratively</w:t>
            </w:r>
            <w:r w:rsidRPr="005B7A5D">
              <w:rPr>
                <w:rFonts w:ascii="Arial" w:hAnsi="Arial" w:cs="Arial"/>
                <w:b/>
                <w:bCs/>
                <w:sz w:val="20"/>
                <w:szCs w:val="20"/>
              </w:rPr>
              <w:tab/>
            </w:r>
          </w:p>
          <w:p w14:paraId="1C974EC2" w14:textId="08B0BAC2" w:rsidR="00F81304" w:rsidRPr="005B7A5D" w:rsidRDefault="00F81304" w:rsidP="005B7A5D">
            <w:pPr>
              <w:spacing w:before="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B7A5D">
              <w:rPr>
                <w:rFonts w:ascii="Arial" w:hAnsi="Arial" w:cs="Arial"/>
                <w:sz w:val="20"/>
                <w:szCs w:val="20"/>
              </w:rPr>
              <w:t>Collaborate with others and value their contribution</w:t>
            </w:r>
          </w:p>
        </w:tc>
        <w:tc>
          <w:tcPr>
            <w:tcW w:w="6049" w:type="dxa"/>
            <w:tcBorders>
              <w:top w:val="single" w:sz="8" w:space="0" w:color="D9D9D9" w:themeColor="background1" w:themeShade="D9"/>
              <w:bottom w:val="single" w:sz="8" w:space="0" w:color="D9D9D9" w:themeColor="background1" w:themeShade="D9"/>
            </w:tcBorders>
          </w:tcPr>
          <w:p w14:paraId="3BE83CFE" w14:textId="77777777" w:rsidR="00F81304" w:rsidRPr="005B7A5D" w:rsidRDefault="00F81304" w:rsidP="005B7A5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Recognise outcomes achieved through effective collaboration between teams</w:t>
            </w:r>
            <w:r w:rsidRPr="005B7A5D">
              <w:rPr>
                <w:rFonts w:ascii="Arial" w:hAnsi="Arial" w:cs="Arial"/>
                <w:sz w:val="20"/>
                <w:szCs w:val="20"/>
              </w:rPr>
              <w:tab/>
            </w:r>
          </w:p>
          <w:p w14:paraId="4BCA1566" w14:textId="77777777" w:rsidR="00F81304" w:rsidRPr="005B7A5D" w:rsidRDefault="00F81304" w:rsidP="005B7A5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Build cooperation and overcome barriers to information sharing, communication and collaboration across the organisation and across government</w:t>
            </w:r>
            <w:r w:rsidRPr="005B7A5D">
              <w:rPr>
                <w:rFonts w:ascii="Arial" w:hAnsi="Arial" w:cs="Arial"/>
                <w:sz w:val="20"/>
                <w:szCs w:val="20"/>
              </w:rPr>
              <w:tab/>
            </w:r>
          </w:p>
          <w:p w14:paraId="49D13178" w14:textId="77777777" w:rsidR="00F81304" w:rsidRPr="005B7A5D" w:rsidRDefault="00F81304" w:rsidP="005B7A5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Facilitate opportunities to engage and collaborate with stakeholders to develop joint solutions</w:t>
            </w:r>
            <w:r w:rsidRPr="005B7A5D">
              <w:rPr>
                <w:rFonts w:ascii="Arial" w:hAnsi="Arial" w:cs="Arial"/>
                <w:sz w:val="20"/>
                <w:szCs w:val="20"/>
              </w:rPr>
              <w:tab/>
            </w:r>
          </w:p>
          <w:p w14:paraId="7F4E7D7B" w14:textId="0130D7BD" w:rsidR="00F81304" w:rsidRPr="005B7A5D" w:rsidRDefault="00F81304" w:rsidP="005B7A5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Network extensively across government and organisations to increase collaboration</w:t>
            </w:r>
            <w:r w:rsidRPr="005B7A5D">
              <w:rPr>
                <w:rFonts w:ascii="Arial" w:hAnsi="Arial" w:cs="Arial"/>
                <w:sz w:val="20"/>
                <w:szCs w:val="20"/>
              </w:rPr>
              <w:tab/>
            </w:r>
          </w:p>
          <w:p w14:paraId="73B51DE6" w14:textId="22A3C1CC" w:rsidR="00F81304" w:rsidRPr="005B7A5D" w:rsidRDefault="00F81304" w:rsidP="005B7A5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Encourage others to use appropriate collaboration approaches and tools, including digital technologies</w:t>
            </w:r>
            <w:r w:rsidRPr="005B7A5D">
              <w:rPr>
                <w:rFonts w:ascii="Arial" w:hAnsi="Arial"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0648EDF4" w14:textId="1DBBA1B9" w:rsidR="00F81304" w:rsidRPr="00D53404" w:rsidRDefault="00F81304"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Advanced</w:t>
            </w:r>
          </w:p>
        </w:tc>
      </w:tr>
      <w:tr w:rsidR="00847160" w14:paraId="4C104899" w14:textId="77777777" w:rsidTr="00F81304">
        <w:trPr>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4D14DA68" w14:textId="41BEA47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49B7A951" wp14:editId="25E7649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1B0402A9" w14:textId="03E6D57B" w:rsidR="005B7A5D" w:rsidRPr="005B7A5D" w:rsidRDefault="005B7A5D"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7A5D">
              <w:rPr>
                <w:rFonts w:ascii="Arial" w:hAnsi="Arial" w:cs="Arial"/>
                <w:b/>
                <w:bCs/>
                <w:sz w:val="20"/>
                <w:szCs w:val="20"/>
              </w:rPr>
              <w:t>Deliver Results</w:t>
            </w:r>
          </w:p>
          <w:p w14:paraId="340BA298" w14:textId="3760E37D" w:rsidR="00847160" w:rsidRPr="00DB7774" w:rsidRDefault="005B7A5D"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Achieve results through the efficient use of resources and a commitment to quality outcomes</w:t>
            </w:r>
          </w:p>
        </w:tc>
        <w:tc>
          <w:tcPr>
            <w:tcW w:w="6049" w:type="dxa"/>
            <w:tcBorders>
              <w:top w:val="single" w:sz="8" w:space="0" w:color="D9D9D9" w:themeColor="background1" w:themeShade="D9"/>
              <w:bottom w:val="single" w:sz="8" w:space="0" w:color="D9D9D9" w:themeColor="background1" w:themeShade="D9"/>
            </w:tcBorders>
          </w:tcPr>
          <w:p w14:paraId="3700A4BC" w14:textId="77777777" w:rsidR="005B7A5D" w:rsidRDefault="005B7A5D"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Use own and others’ expertise to achieve outcomes, and take responsibility for delivering intended outcomes</w:t>
            </w:r>
            <w:r w:rsidRPr="005B7A5D">
              <w:rPr>
                <w:rFonts w:ascii="Arial" w:hAnsi="Arial" w:cs="Arial"/>
                <w:sz w:val="20"/>
                <w:szCs w:val="20"/>
              </w:rPr>
              <w:tab/>
            </w:r>
          </w:p>
          <w:p w14:paraId="1207FE32" w14:textId="77777777" w:rsidR="005B7A5D" w:rsidRDefault="005B7A5D"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Make sure staff understand expected goals and acknowledge staff success in achieving these</w:t>
            </w:r>
            <w:r w:rsidRPr="005B7A5D">
              <w:rPr>
                <w:rFonts w:ascii="Arial" w:hAnsi="Arial" w:cs="Arial"/>
                <w:sz w:val="20"/>
                <w:szCs w:val="20"/>
              </w:rPr>
              <w:tab/>
            </w:r>
          </w:p>
          <w:p w14:paraId="5CAA14D3" w14:textId="77777777" w:rsidR="006C6151" w:rsidRDefault="005B7A5D"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Identify resource needs and ensure goals are achieved within set budgets and deadlines</w:t>
            </w:r>
            <w:r w:rsidRPr="005B7A5D">
              <w:rPr>
                <w:rFonts w:ascii="Arial" w:hAnsi="Arial" w:cs="Arial"/>
                <w:sz w:val="20"/>
                <w:szCs w:val="20"/>
              </w:rPr>
              <w:tab/>
            </w:r>
          </w:p>
          <w:p w14:paraId="02093AB1" w14:textId="33263ACA" w:rsidR="005B7A5D" w:rsidRDefault="005B7A5D"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Use business data to evaluate outcomes and inform continuous improvement</w:t>
            </w:r>
            <w:r w:rsidRPr="005B7A5D">
              <w:rPr>
                <w:rFonts w:ascii="Arial" w:hAnsi="Arial" w:cs="Arial"/>
                <w:sz w:val="20"/>
                <w:szCs w:val="20"/>
              </w:rPr>
              <w:tab/>
            </w:r>
          </w:p>
          <w:p w14:paraId="7C102A85" w14:textId="77777777" w:rsidR="005B7A5D" w:rsidRDefault="005B7A5D"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Identify priorities that need to change and ensure the allocation of resources meets new business needs</w:t>
            </w:r>
            <w:r w:rsidRPr="005B7A5D">
              <w:rPr>
                <w:rFonts w:ascii="Arial" w:hAnsi="Arial" w:cs="Arial"/>
                <w:sz w:val="20"/>
                <w:szCs w:val="20"/>
              </w:rPr>
              <w:tab/>
            </w:r>
          </w:p>
          <w:p w14:paraId="7D14BEFC" w14:textId="371D59F0" w:rsidR="00847160" w:rsidRPr="00DB7774" w:rsidRDefault="005B7A5D" w:rsidP="005B7A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7A5D">
              <w:rPr>
                <w:rFonts w:ascii="Arial" w:hAnsi="Arial" w:cs="Arial"/>
                <w:sz w:val="20"/>
                <w:szCs w:val="20"/>
              </w:rPr>
              <w:t>Ensure that the financial implications of changed priorities are explicit and budgeted for</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0B1F1CAD" w:rsidR="00847160" w:rsidRPr="00DB7774"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D53404" w14:paraId="0B1E5AD0" w14:textId="77777777" w:rsidTr="0036200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tcBorders>
          </w:tcPr>
          <w:p w14:paraId="27BDFC89" w14:textId="11E69330" w:rsidR="00D53404" w:rsidRPr="00DB7774" w:rsidRDefault="00D53404" w:rsidP="00DB7774">
            <w:pPr>
              <w:spacing w:before="120" w:line="276" w:lineRule="auto"/>
              <w:rPr>
                <w:rFonts w:ascii="Arial" w:hAnsi="Arial" w:cs="Arial"/>
                <w:sz w:val="20"/>
                <w:szCs w:val="20"/>
              </w:rPr>
            </w:pPr>
            <w:r w:rsidRPr="00C978B9">
              <w:rPr>
                <w:noProof/>
                <w:lang w:eastAsia="en-AU"/>
              </w:rPr>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15D677EB" w14:textId="77777777" w:rsidR="00D53404" w:rsidRPr="005B7A5D"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7A5D">
              <w:rPr>
                <w:rFonts w:ascii="Arial" w:hAnsi="Arial" w:cs="Arial"/>
                <w:b/>
                <w:bCs/>
                <w:sz w:val="20"/>
                <w:szCs w:val="20"/>
              </w:rPr>
              <w:t>Technology</w:t>
            </w:r>
            <w:r w:rsidRPr="005B7A5D">
              <w:rPr>
                <w:rFonts w:ascii="Arial" w:hAnsi="Arial" w:cs="Arial"/>
                <w:b/>
                <w:bCs/>
                <w:sz w:val="20"/>
                <w:szCs w:val="20"/>
              </w:rPr>
              <w:tab/>
            </w:r>
          </w:p>
          <w:p w14:paraId="3E8DDD46" w14:textId="64972795" w:rsidR="00D53404" w:rsidRPr="00DB777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7A5D">
              <w:rPr>
                <w:rFonts w:ascii="Arial" w:hAnsi="Arial" w:cs="Arial"/>
                <w:sz w:val="20"/>
                <w:szCs w:val="20"/>
              </w:rPr>
              <w:t>Understand and use available technologies to maximise efficiencies and effectiveness</w:t>
            </w:r>
          </w:p>
        </w:tc>
        <w:tc>
          <w:tcPr>
            <w:tcW w:w="6049" w:type="dxa"/>
            <w:tcBorders>
              <w:top w:val="single" w:sz="8" w:space="0" w:color="D9D9D9" w:themeColor="background1" w:themeShade="D9"/>
              <w:bottom w:val="single" w:sz="8" w:space="0" w:color="D9D9D9" w:themeColor="background1" w:themeShade="D9"/>
            </w:tcBorders>
          </w:tcPr>
          <w:p w14:paraId="52148311" w14:textId="77777777" w:rsidR="006C6151"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Identify opportunities to use a broad range of technologies to collaborate</w:t>
            </w:r>
            <w:r w:rsidRPr="00D53404">
              <w:rPr>
                <w:rFonts w:ascii="Arial" w:hAnsi="Arial" w:cs="Arial"/>
                <w:sz w:val="20"/>
                <w:szCs w:val="20"/>
              </w:rPr>
              <w:tab/>
            </w:r>
          </w:p>
          <w:p w14:paraId="2D13765D" w14:textId="03EDBA66" w:rsidR="00D53404" w:rsidRPr="00D5340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Monitor compliance with cyber security and the use of technology policies</w:t>
            </w:r>
            <w:r w:rsidRPr="00D53404">
              <w:rPr>
                <w:rFonts w:ascii="Arial" w:hAnsi="Arial" w:cs="Arial"/>
                <w:sz w:val="20"/>
                <w:szCs w:val="20"/>
              </w:rPr>
              <w:tab/>
            </w:r>
          </w:p>
          <w:p w14:paraId="38E504C4" w14:textId="77777777" w:rsidR="00D53404" w:rsidRPr="00D5340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Identify ways to maximise the value of available technology to achieve business strategies and outcomes</w:t>
            </w:r>
            <w:r w:rsidRPr="00D53404">
              <w:rPr>
                <w:rFonts w:ascii="Arial" w:hAnsi="Arial" w:cs="Arial"/>
                <w:sz w:val="20"/>
                <w:szCs w:val="20"/>
              </w:rPr>
              <w:tab/>
            </w:r>
          </w:p>
          <w:p w14:paraId="4955A89E" w14:textId="5EB09F88" w:rsidR="00D53404" w:rsidRPr="00D5340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Monitor compliance with the organisation’s records, information and knowledge management requirements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5CBEF827" w:rsidR="00D53404" w:rsidRPr="00DB777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D53404" w14:paraId="5DC0DD80" w14:textId="77777777" w:rsidTr="0036200B">
        <w:trPr>
          <w:trHeight w:val="5"/>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D9D9D9" w:themeColor="background1" w:themeShade="D9"/>
            </w:tcBorders>
          </w:tcPr>
          <w:p w14:paraId="62A94EA4" w14:textId="77777777" w:rsidR="00D53404" w:rsidRPr="00C978B9" w:rsidRDefault="00D53404"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10142631" w14:textId="77777777" w:rsidR="00D53404" w:rsidRPr="00D53404" w:rsidRDefault="00D53404" w:rsidP="00D534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53404">
              <w:rPr>
                <w:rFonts w:ascii="Arial" w:hAnsi="Arial" w:cs="Arial"/>
                <w:b/>
                <w:bCs/>
                <w:sz w:val="20"/>
                <w:szCs w:val="20"/>
              </w:rPr>
              <w:t>Project Management</w:t>
            </w:r>
            <w:r w:rsidRPr="00D53404">
              <w:rPr>
                <w:rFonts w:ascii="Arial" w:hAnsi="Arial" w:cs="Arial"/>
                <w:b/>
                <w:bCs/>
                <w:sz w:val="20"/>
                <w:szCs w:val="20"/>
              </w:rPr>
              <w:tab/>
            </w:r>
          </w:p>
          <w:p w14:paraId="143AE43D" w14:textId="4FC33D51" w:rsidR="00D53404" w:rsidRPr="00D53404" w:rsidRDefault="00D53404" w:rsidP="00D534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Understand and apply effective planning, coordination and control methods</w:t>
            </w:r>
          </w:p>
        </w:tc>
        <w:tc>
          <w:tcPr>
            <w:tcW w:w="6049" w:type="dxa"/>
            <w:tcBorders>
              <w:top w:val="single" w:sz="8" w:space="0" w:color="D9D9D9" w:themeColor="background1" w:themeShade="D9"/>
              <w:bottom w:val="single" w:sz="8" w:space="0" w:color="D9D9D9" w:themeColor="background1" w:themeShade="D9"/>
            </w:tcBorders>
          </w:tcPr>
          <w:p w14:paraId="43A32E7D" w14:textId="77777777" w:rsidR="00D53404" w:rsidRP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Prepare and review project scope and business cases for projects with multiple interdependencies</w:t>
            </w:r>
            <w:r w:rsidRPr="00D53404">
              <w:rPr>
                <w:rFonts w:ascii="Arial" w:hAnsi="Arial" w:cs="Arial"/>
                <w:sz w:val="20"/>
                <w:szCs w:val="20"/>
              </w:rPr>
              <w:tab/>
            </w:r>
          </w:p>
          <w:p w14:paraId="6023D776" w14:textId="77777777" w:rsidR="00D53404" w:rsidRP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Access key subject-matter experts’ knowledge to inform project plans and directions</w:t>
            </w:r>
            <w:r w:rsidRPr="00D53404">
              <w:rPr>
                <w:rFonts w:ascii="Arial" w:hAnsi="Arial" w:cs="Arial"/>
                <w:sz w:val="20"/>
                <w:szCs w:val="20"/>
              </w:rPr>
              <w:tab/>
            </w:r>
          </w:p>
          <w:p w14:paraId="0A303A08" w14:textId="772EF96E" w:rsidR="00D53404" w:rsidRP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Design and implement effective stakeholder engagement and communications strategies for all project stages</w:t>
            </w:r>
            <w:r w:rsidRPr="00D53404">
              <w:rPr>
                <w:rFonts w:ascii="Arial" w:hAnsi="Arial" w:cs="Arial"/>
                <w:sz w:val="20"/>
                <w:szCs w:val="20"/>
              </w:rPr>
              <w:tab/>
            </w:r>
          </w:p>
          <w:p w14:paraId="5C73886C" w14:textId="77777777" w:rsidR="00D53404" w:rsidRP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Monitor project completion and implement effective and rigorous project evaluation methodologies to inform future planning</w:t>
            </w:r>
            <w:r w:rsidRPr="00D53404">
              <w:rPr>
                <w:rFonts w:ascii="Arial" w:hAnsi="Arial" w:cs="Arial"/>
                <w:sz w:val="20"/>
                <w:szCs w:val="20"/>
              </w:rPr>
              <w:tab/>
            </w:r>
          </w:p>
          <w:p w14:paraId="5B17085A" w14:textId="1DA84BE0" w:rsidR="00D53404" w:rsidRP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lastRenderedPageBreak/>
              <w:t>Develop effective strategies to remedy variances from project plans and minimise impact</w:t>
            </w:r>
            <w:r w:rsidRPr="00D53404">
              <w:rPr>
                <w:rFonts w:ascii="Arial" w:hAnsi="Arial" w:cs="Arial"/>
                <w:sz w:val="20"/>
                <w:szCs w:val="20"/>
              </w:rPr>
              <w:tab/>
            </w:r>
          </w:p>
          <w:p w14:paraId="391B89D8" w14:textId="77777777" w:rsid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Manage transitions between project stages and ensure that changes are consistent with organisational goals</w:t>
            </w:r>
          </w:p>
          <w:p w14:paraId="3252B8E6" w14:textId="7A08A7D5" w:rsidR="00D53404" w:rsidRP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Participate in governance processes such as project steering groups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2A8C26FF" w14:textId="685F3372" w:rsidR="00D53404" w:rsidRPr="00D53404" w:rsidRDefault="00D53404"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Advanced</w:t>
            </w:r>
          </w:p>
        </w:tc>
      </w:tr>
    </w:tbl>
    <w:p w14:paraId="708C073F" w14:textId="7083F9DC"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1"/>
        <w:gridCol w:w="5990"/>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5B7A5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5B7A5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06953DDA" w14:textId="77777777" w:rsidR="00D53404" w:rsidRPr="00D53404" w:rsidRDefault="00D53404" w:rsidP="00D53404">
            <w:pPr>
              <w:rPr>
                <w:rFonts w:cs="Arial"/>
                <w:color w:val="000000"/>
                <w:sz w:val="20"/>
                <w:szCs w:val="20"/>
              </w:rPr>
            </w:pPr>
            <w:r w:rsidRPr="00D53404">
              <w:rPr>
                <w:rFonts w:ascii="Arial" w:hAnsi="Arial" w:cs="Arial"/>
                <w:color w:val="000000"/>
                <w:sz w:val="20"/>
                <w:szCs w:val="20"/>
              </w:rPr>
              <w:t>Project management</w:t>
            </w:r>
          </w:p>
          <w:p w14:paraId="7919DCD4" w14:textId="2465DBDE" w:rsidR="00847160" w:rsidRPr="00D53404" w:rsidRDefault="00847160" w:rsidP="00DB7774">
            <w:pPr>
              <w:spacing w:before="120" w:line="276" w:lineRule="auto"/>
              <w:rPr>
                <w:rFonts w:ascii="Arial" w:hAnsi="Arial" w:cs="Arial"/>
                <w:sz w:val="20"/>
                <w:szCs w:val="20"/>
              </w:rPr>
            </w:pPr>
            <w:r w:rsidRPr="00D5340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18" w:space="0" w:color="auto"/>
              <w:bottom w:val="single" w:sz="8" w:space="0" w:color="D9D9D9" w:themeColor="background1" w:themeShade="D9"/>
            </w:tcBorders>
          </w:tcPr>
          <w:p w14:paraId="0C6DDF0A" w14:textId="77777777" w:rsidR="00D5340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Change and transformation</w:t>
            </w:r>
            <w:r w:rsidRPr="00D53404">
              <w:rPr>
                <w:rFonts w:ascii="Arial" w:hAnsi="Arial" w:cs="Arial"/>
                <w:sz w:val="20"/>
                <w:szCs w:val="20"/>
              </w:rPr>
              <w:tab/>
            </w:r>
          </w:p>
          <w:p w14:paraId="70399EDC" w14:textId="2FE201DA" w:rsidR="00847160" w:rsidRPr="00D5340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Business change implementation</w:t>
            </w:r>
          </w:p>
        </w:tc>
        <w:tc>
          <w:tcPr>
            <w:tcW w:w="5990" w:type="dxa"/>
            <w:tcBorders>
              <w:top w:val="single" w:sz="18" w:space="0" w:color="auto"/>
              <w:bottom w:val="single" w:sz="8" w:space="0" w:color="D9D9D9" w:themeColor="background1" w:themeShade="D9"/>
            </w:tcBorders>
          </w:tcPr>
          <w:p w14:paraId="7DC51E8D" w14:textId="77777777" w:rsidR="00D53404" w:rsidRDefault="00D5340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Takes full responsibility for the definition, documentation and successful completion of complex projects (typically with significant business, political, or high-profile impact, and high-risk dependencies). </w:t>
            </w:r>
          </w:p>
          <w:p w14:paraId="2DD86F00" w14:textId="77777777" w:rsidR="00D53404" w:rsidRDefault="00D5340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Adopts and adapts project management methods and tools, selecting appropriately from plan-driven/predictive approaches or more adaptive (iterative and agile) approaches. </w:t>
            </w:r>
          </w:p>
          <w:p w14:paraId="71771FB2" w14:textId="77777777" w:rsidR="00D53404" w:rsidRDefault="00D5340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Ensures that effective project control, change control, risk management and testing processes are maintained.  </w:t>
            </w:r>
          </w:p>
          <w:p w14:paraId="6D9042D9" w14:textId="6327305C" w:rsidR="00847160" w:rsidRPr="00DB7774" w:rsidRDefault="00D5340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Monitors and controls resources, revenue and capital costs against the project budget and manages expectations of all project stakeholders.</w:t>
            </w:r>
          </w:p>
        </w:tc>
        <w:tc>
          <w:tcPr>
            <w:tcW w:w="1307" w:type="dxa"/>
            <w:tcBorders>
              <w:top w:val="single" w:sz="18" w:space="0" w:color="auto"/>
              <w:bottom w:val="single" w:sz="8" w:space="0" w:color="D9D9D9" w:themeColor="background1" w:themeShade="D9"/>
              <w:right w:val="single" w:sz="8" w:space="0" w:color="FFFFFF" w:themeColor="background1"/>
            </w:tcBorders>
          </w:tcPr>
          <w:p w14:paraId="219E436D" w14:textId="77777777" w:rsidR="00847160"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PRMG </w:t>
            </w:r>
          </w:p>
          <w:p w14:paraId="52617272" w14:textId="610AE6C7" w:rsidR="00D53404" w:rsidRPr="00DB777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6</w:t>
            </w:r>
          </w:p>
        </w:tc>
      </w:tr>
      <w:tr w:rsidR="00847160" w:rsidRPr="00DB7774" w14:paraId="239DA07C" w14:textId="77777777" w:rsidTr="005B7A5D">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437173E7" w14:textId="77777777" w:rsidR="00847160" w:rsidRDefault="00D53404" w:rsidP="00DB7774">
            <w:pPr>
              <w:spacing w:before="120" w:line="276" w:lineRule="auto"/>
              <w:rPr>
                <w:rFonts w:ascii="Arial" w:hAnsi="Arial" w:cs="Arial"/>
                <w:b w:val="0"/>
                <w:bCs w:val="0"/>
                <w:sz w:val="20"/>
                <w:szCs w:val="20"/>
              </w:rPr>
            </w:pPr>
            <w:r w:rsidRPr="00D53404">
              <w:rPr>
                <w:rFonts w:ascii="Arial" w:hAnsi="Arial" w:cs="Arial"/>
                <w:sz w:val="20"/>
                <w:szCs w:val="20"/>
              </w:rPr>
              <w:t>Relationship management</w:t>
            </w:r>
          </w:p>
          <w:p w14:paraId="15AF522F" w14:textId="72783EC1" w:rsidR="00D53404" w:rsidRPr="00DB7774" w:rsidRDefault="00D53404"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A0C6A27" wp14:editId="19510D59">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6EA52D6C" w14:textId="51CC8C42" w:rsidR="00D53404"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Relationships and engagement</w:t>
            </w:r>
          </w:p>
          <w:p w14:paraId="01F086C1" w14:textId="13FD11EB" w:rsidR="00847160" w:rsidRPr="00DB7774"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Stakeholder management</w:t>
            </w:r>
          </w:p>
        </w:tc>
        <w:tc>
          <w:tcPr>
            <w:tcW w:w="5990" w:type="dxa"/>
            <w:tcBorders>
              <w:top w:val="single" w:sz="8" w:space="0" w:color="D9D9D9" w:themeColor="background1" w:themeShade="D9"/>
              <w:bottom w:val="single" w:sz="8" w:space="0" w:color="D9D9D9" w:themeColor="background1" w:themeShade="D9"/>
            </w:tcBorders>
          </w:tcPr>
          <w:p w14:paraId="0096781D" w14:textId="77777777" w:rsid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Identifies the communications and relationship needs of stakeholder groups. </w:t>
            </w:r>
          </w:p>
          <w:p w14:paraId="0C7DDBDF" w14:textId="77777777" w:rsid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Translates communications/stakeholder engagement strategies into specific activities and deliverables. </w:t>
            </w:r>
          </w:p>
          <w:p w14:paraId="710F7EF0" w14:textId="77777777" w:rsid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Facilitates open communication and discussion between stakeholders, acting as a single point of contact by developing, maintaining and working to stakeholder engagement strategies and plans.  </w:t>
            </w:r>
          </w:p>
          <w:p w14:paraId="76DC6137" w14:textId="77777777" w:rsid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Provides informed feedback to assess and promote understanding. </w:t>
            </w:r>
          </w:p>
          <w:p w14:paraId="7BA22E7A" w14:textId="77777777" w:rsidR="00D5340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Facilitates business decision-making processes. </w:t>
            </w:r>
          </w:p>
          <w:p w14:paraId="036E5E01" w14:textId="7F8A6719" w:rsidR="00847160" w:rsidRPr="00DB7774" w:rsidRDefault="00D53404" w:rsidP="00D53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3404">
              <w:rPr>
                <w:rFonts w:ascii="Arial" w:hAnsi="Arial" w:cs="Arial"/>
                <w:sz w:val="20"/>
                <w:szCs w:val="20"/>
              </w:rPr>
              <w:t>Captures and disseminates technical and business information.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43BBF38" w14:textId="77777777" w:rsidR="00847160"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RLMT</w:t>
            </w:r>
          </w:p>
          <w:p w14:paraId="3C18EF35" w14:textId="4EC32A12" w:rsidR="00D53404" w:rsidRPr="00DB7774"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52369EFE" w14:textId="77777777" w:rsidTr="005B7A5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7122703D" w14:textId="7A2C6C6E" w:rsidR="00847160" w:rsidRPr="00DB7774" w:rsidRDefault="00D53404" w:rsidP="00DB7774">
            <w:pPr>
              <w:spacing w:before="120" w:line="276" w:lineRule="auto"/>
              <w:rPr>
                <w:rFonts w:ascii="Arial" w:hAnsi="Arial" w:cs="Arial"/>
                <w:sz w:val="20"/>
                <w:szCs w:val="20"/>
              </w:rPr>
            </w:pPr>
            <w:r w:rsidRPr="00D53404">
              <w:rPr>
                <w:rFonts w:ascii="Arial" w:hAnsi="Arial" w:cs="Arial"/>
                <w:sz w:val="20"/>
                <w:szCs w:val="20"/>
              </w:rPr>
              <w:t>Specialist advice</w:t>
            </w:r>
            <w:r w:rsidRPr="00DB7774">
              <w:rPr>
                <w:rFonts w:cs="Arial"/>
                <w:noProof/>
                <w:sz w:val="20"/>
                <w:szCs w:val="20"/>
              </w:rPr>
              <w:drawing>
                <wp:inline distT="0" distB="0" distL="0" distR="0" wp14:anchorId="1548AA9B" wp14:editId="1FC5AC7D">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47F4B495" w14:textId="77777777" w:rsidR="00D5340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Strategy and architecture</w:t>
            </w:r>
            <w:r w:rsidRPr="00D53404">
              <w:rPr>
                <w:rFonts w:ascii="Arial" w:hAnsi="Arial" w:cs="Arial"/>
                <w:sz w:val="20"/>
                <w:szCs w:val="20"/>
              </w:rPr>
              <w:tab/>
            </w:r>
          </w:p>
          <w:p w14:paraId="5138C108" w14:textId="74504F07" w:rsidR="00847160" w:rsidRPr="00DB777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Advice and guidance</w:t>
            </w:r>
          </w:p>
        </w:tc>
        <w:tc>
          <w:tcPr>
            <w:tcW w:w="5990" w:type="dxa"/>
            <w:tcBorders>
              <w:top w:val="single" w:sz="8" w:space="0" w:color="D9D9D9" w:themeColor="background1" w:themeShade="D9"/>
              <w:bottom w:val="single" w:sz="8" w:space="0" w:color="D9D9D9" w:themeColor="background1" w:themeShade="D9"/>
            </w:tcBorders>
          </w:tcPr>
          <w:p w14:paraId="6816E196" w14:textId="77777777" w:rsidR="00D5340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Actively maintains recognised expert level knowledge in one or more identifiable specialisms. </w:t>
            </w:r>
          </w:p>
          <w:p w14:paraId="3817FAE3" w14:textId="77777777" w:rsidR="00D5340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Provides definitive and expert advice in their specialist area(s). </w:t>
            </w:r>
          </w:p>
          <w:p w14:paraId="36109FA5" w14:textId="77777777" w:rsidR="00D5340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 xml:space="preserve">Oversees the provision of specialist advice by others, consolidates expertise from multiple sources, including third party experts, to provide coherent advice to further organisational objectives. </w:t>
            </w:r>
          </w:p>
          <w:p w14:paraId="095226E7" w14:textId="0B00BAF2" w:rsidR="00847160" w:rsidRPr="00DB7774" w:rsidRDefault="00D53404" w:rsidP="00D53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lastRenderedPageBreak/>
              <w:t>Supports and promotes the development and sharing of specialist knowledge within the organisation.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BC7BECC" w14:textId="77777777" w:rsidR="00847160"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TECH</w:t>
            </w:r>
          </w:p>
          <w:p w14:paraId="2FAB1AF9" w14:textId="4F7D7527" w:rsidR="00D53404" w:rsidRPr="00DB7774" w:rsidRDefault="00D5340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4ABBE012" w14:textId="77777777" w:rsidTr="00D53404">
        <w:trPr>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147E5CA1" w14:textId="6D03BFC3" w:rsidR="00847160" w:rsidRPr="00DB7774" w:rsidRDefault="00D53404" w:rsidP="00DB7774">
            <w:pPr>
              <w:spacing w:before="120" w:line="276" w:lineRule="auto"/>
              <w:rPr>
                <w:rFonts w:ascii="Arial" w:hAnsi="Arial" w:cs="Arial"/>
                <w:sz w:val="20"/>
                <w:szCs w:val="20"/>
              </w:rPr>
            </w:pPr>
            <w:r w:rsidRPr="00D53404">
              <w:rPr>
                <w:rFonts w:ascii="Arial" w:hAnsi="Arial" w:cs="Arial"/>
                <w:sz w:val="20"/>
                <w:szCs w:val="20"/>
              </w:rPr>
              <w:t>Measurement</w:t>
            </w:r>
            <w:r w:rsidRPr="00D53404">
              <w:rPr>
                <w:rFonts w:cs="Arial"/>
                <w:noProof/>
                <w:sz w:val="20"/>
                <w:szCs w:val="20"/>
              </w:rPr>
              <w:drawing>
                <wp:inline distT="0" distB="0" distL="0" distR="0" wp14:anchorId="43E08A82" wp14:editId="182E8202">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7D5CD29E" w14:textId="77777777" w:rsidR="00F81304" w:rsidRDefault="00F813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Skills and quality</w:t>
            </w:r>
            <w:r w:rsidRPr="00F81304">
              <w:rPr>
                <w:rFonts w:ascii="Arial" w:hAnsi="Arial" w:cs="Arial"/>
                <w:sz w:val="20"/>
                <w:szCs w:val="20"/>
              </w:rPr>
              <w:tab/>
            </w:r>
          </w:p>
          <w:p w14:paraId="4EB4449C" w14:textId="29AA17B9" w:rsidR="00847160" w:rsidRPr="00DB7774" w:rsidRDefault="00F813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Quality and conformance</w:t>
            </w:r>
          </w:p>
        </w:tc>
        <w:tc>
          <w:tcPr>
            <w:tcW w:w="5990" w:type="dxa"/>
            <w:tcBorders>
              <w:top w:val="single" w:sz="8" w:space="0" w:color="D9D9D9" w:themeColor="background1" w:themeShade="D9"/>
              <w:bottom w:val="single" w:sz="8" w:space="0" w:color="D9D9D9" w:themeColor="background1" w:themeShade="D9"/>
            </w:tcBorders>
          </w:tcPr>
          <w:p w14:paraId="206B358E" w14:textId="77777777" w:rsidR="00F81304" w:rsidRPr="00F81304" w:rsidRDefault="00F81304" w:rsidP="00F813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Supports projects, functions or teams in the development of project and/or operational methods for measurement. </w:t>
            </w:r>
          </w:p>
          <w:p w14:paraId="2BE20AD7" w14:textId="77777777" w:rsidR="00F81304" w:rsidRPr="00F81304" w:rsidRDefault="00F81304" w:rsidP="00F813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Specifies base and derived measures which support agreed information needs. Identifies and prioritises appropriate measures, scales, and targets. </w:t>
            </w:r>
          </w:p>
          <w:p w14:paraId="769620B9" w14:textId="77777777" w:rsidR="00F81304" w:rsidRPr="00F81304" w:rsidRDefault="00F81304" w:rsidP="00F813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Specifies how to collect and store the data for each required measure. </w:t>
            </w:r>
          </w:p>
          <w:p w14:paraId="528FC8EA" w14:textId="77777777" w:rsidR="00F81304" w:rsidRPr="00F81304" w:rsidRDefault="00F81304" w:rsidP="00F813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Provides guidance on collection of data including automation. </w:t>
            </w:r>
          </w:p>
          <w:p w14:paraId="74B8F062" w14:textId="78724361" w:rsidR="00847160" w:rsidRPr="00DB7774" w:rsidRDefault="00F81304" w:rsidP="00F813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F81304">
              <w:rPr>
                <w:rFonts w:ascii="Arial" w:hAnsi="Arial" w:cs="Arial"/>
                <w:sz w:val="20"/>
                <w:szCs w:val="20"/>
              </w:rPr>
              <w:t>Designs reports and reporting formats.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52E9D3A9" w14:textId="77777777" w:rsidR="00847160"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MEAS</w:t>
            </w:r>
          </w:p>
          <w:p w14:paraId="75EAC607" w14:textId="4FF9C152" w:rsidR="00D53404" w:rsidRPr="00DB7774" w:rsidRDefault="00D5340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4</w:t>
            </w:r>
          </w:p>
        </w:tc>
      </w:tr>
      <w:tr w:rsidR="00D53404" w:rsidRPr="00DB7774" w14:paraId="2226D0E4" w14:textId="77777777" w:rsidTr="005B7A5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8" w:space="0" w:color="BCBEC0"/>
            </w:tcBorders>
          </w:tcPr>
          <w:p w14:paraId="6AC8B5A2" w14:textId="10E8DEBE" w:rsidR="00D53404" w:rsidRPr="00DB7774" w:rsidRDefault="00F81304" w:rsidP="00DB7774">
            <w:pPr>
              <w:spacing w:before="120"/>
              <w:rPr>
                <w:rFonts w:cs="Arial"/>
                <w:sz w:val="20"/>
                <w:szCs w:val="20"/>
              </w:rPr>
            </w:pPr>
            <w:r w:rsidRPr="00F81304">
              <w:rPr>
                <w:rFonts w:ascii="Arial" w:hAnsi="Arial" w:cs="Arial"/>
                <w:sz w:val="20"/>
                <w:szCs w:val="20"/>
              </w:rPr>
              <w:t>Organisational capability development</w:t>
            </w:r>
            <w:r w:rsidRPr="00D53404">
              <w:rPr>
                <w:rFonts w:cs="Arial"/>
                <w:noProof/>
                <w:sz w:val="20"/>
                <w:szCs w:val="20"/>
              </w:rPr>
              <w:drawing>
                <wp:inline distT="0" distB="0" distL="0" distR="0" wp14:anchorId="50B5DF50" wp14:editId="6C44D40E">
                  <wp:extent cx="1021278" cy="468872"/>
                  <wp:effectExtent l="0" t="0" r="7620" b="7620"/>
                  <wp:docPr id="8" name="Picture 8"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BCBEC0"/>
            </w:tcBorders>
          </w:tcPr>
          <w:p w14:paraId="31393567" w14:textId="77777777" w:rsidR="00F81304" w:rsidRPr="004179C6" w:rsidRDefault="00F81304"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79C6">
              <w:rPr>
                <w:rFonts w:ascii="Arial" w:hAnsi="Arial" w:cs="Arial"/>
                <w:sz w:val="20"/>
                <w:szCs w:val="20"/>
              </w:rPr>
              <w:t>Change and transformation</w:t>
            </w:r>
            <w:r w:rsidRPr="004179C6">
              <w:rPr>
                <w:rFonts w:ascii="Arial" w:hAnsi="Arial" w:cs="Arial"/>
                <w:sz w:val="20"/>
                <w:szCs w:val="20"/>
              </w:rPr>
              <w:tab/>
            </w:r>
          </w:p>
          <w:p w14:paraId="30ECEDE8" w14:textId="58CFA6A7" w:rsidR="00D53404" w:rsidRPr="00DB7774" w:rsidRDefault="00F81304" w:rsidP="00DB777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4179C6">
              <w:rPr>
                <w:rFonts w:ascii="Arial" w:hAnsi="Arial" w:cs="Arial"/>
                <w:sz w:val="20"/>
                <w:szCs w:val="20"/>
              </w:rPr>
              <w:t>Business change management</w:t>
            </w:r>
          </w:p>
        </w:tc>
        <w:tc>
          <w:tcPr>
            <w:tcW w:w="5990" w:type="dxa"/>
            <w:tcBorders>
              <w:top w:val="single" w:sz="8" w:space="0" w:color="D9D9D9" w:themeColor="background1" w:themeShade="D9"/>
              <w:bottom w:val="single" w:sz="8" w:space="0" w:color="BCBEC0"/>
            </w:tcBorders>
          </w:tcPr>
          <w:p w14:paraId="0A010B8D" w14:textId="77777777" w:rsidR="00F81304" w:rsidRPr="00F81304" w:rsidRDefault="00F81304" w:rsidP="00F813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Develops and maintains a detailed knowledge of capability improvement approaches and techniques and selects appropriate approaches for the organisation. </w:t>
            </w:r>
          </w:p>
          <w:p w14:paraId="51D18094" w14:textId="77777777" w:rsidR="00F81304" w:rsidRPr="00F81304" w:rsidRDefault="00F81304" w:rsidP="00F813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Contributes effectively to identifying new areas of capability improvement within the organisation which may be enhancements to skills, technology or processes. </w:t>
            </w:r>
          </w:p>
          <w:p w14:paraId="1175278A" w14:textId="77777777" w:rsidR="00F81304" w:rsidRPr="00F81304" w:rsidRDefault="00F81304" w:rsidP="00F813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Carries out capability improvement assignments, such as maturity or performance assessments to identify strengths and weaknesses. </w:t>
            </w:r>
          </w:p>
          <w:p w14:paraId="34F59F6A" w14:textId="77777777" w:rsidR="00F81304" w:rsidRPr="00F81304" w:rsidRDefault="00F81304" w:rsidP="00F813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sz w:val="20"/>
                <w:szCs w:val="20"/>
              </w:rPr>
              <w:t xml:space="preserve">Selects and prioritises improvement opportunities, generates buy-in and plans improvement activities justified by measurable organisational benefits. </w:t>
            </w:r>
          </w:p>
          <w:p w14:paraId="0C6FA00C" w14:textId="567A82B8" w:rsidR="00D53404" w:rsidRPr="00DB7774" w:rsidRDefault="00F81304" w:rsidP="00F813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rPr>
            </w:pPr>
            <w:r w:rsidRPr="00F81304">
              <w:rPr>
                <w:rFonts w:ascii="Arial" w:hAnsi="Arial" w:cs="Arial"/>
                <w:sz w:val="20"/>
                <w:szCs w:val="20"/>
              </w:rPr>
              <w:t>Mentors and supports localised continuous improvement activities.</w:t>
            </w:r>
          </w:p>
        </w:tc>
        <w:tc>
          <w:tcPr>
            <w:tcW w:w="1307" w:type="dxa"/>
            <w:tcBorders>
              <w:top w:val="single" w:sz="8" w:space="0" w:color="D9D9D9" w:themeColor="background1" w:themeShade="D9"/>
              <w:bottom w:val="single" w:sz="8" w:space="0" w:color="BCBEC0"/>
              <w:right w:val="single" w:sz="8" w:space="0" w:color="FFFFFF" w:themeColor="background1"/>
            </w:tcBorders>
          </w:tcPr>
          <w:p w14:paraId="1DD19D31" w14:textId="77777777" w:rsidR="00D53404" w:rsidRPr="00D53404" w:rsidRDefault="00D53404"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404">
              <w:rPr>
                <w:rFonts w:ascii="Arial" w:hAnsi="Arial" w:cs="Arial"/>
                <w:sz w:val="20"/>
                <w:szCs w:val="20"/>
              </w:rPr>
              <w:t>OCDV</w:t>
            </w:r>
          </w:p>
          <w:p w14:paraId="315B99C4" w14:textId="4BFACCBE" w:rsidR="00D53404" w:rsidRDefault="00D53404" w:rsidP="00DB777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D53404">
              <w:rPr>
                <w:rFonts w:ascii="Arial" w:hAnsi="Arial" w:cs="Arial"/>
                <w:sz w:val="20"/>
                <w:szCs w:val="20"/>
              </w:rPr>
              <w:t>Level 5</w:t>
            </w:r>
          </w:p>
        </w:tc>
      </w:tr>
    </w:tbl>
    <w:p w14:paraId="22EF2657" w14:textId="506EDAE0" w:rsidR="00847160" w:rsidRDefault="00847160" w:rsidP="00BB12E9">
      <w:pPr>
        <w:pStyle w:val="PlainText"/>
        <w:spacing w:before="62" w:line="276" w:lineRule="auto"/>
        <w:rPr>
          <w:rFonts w:ascii="Arial" w:eastAsiaTheme="minorEastAsia" w:hAnsi="Arial"/>
          <w:szCs w:val="22"/>
          <w:lang w:val="en-US"/>
        </w:rPr>
      </w:pPr>
    </w:p>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9"/>
        <w:gridCol w:w="1886"/>
        <w:gridCol w:w="5805"/>
        <w:gridCol w:w="1328"/>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6F39AB">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9"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86"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805"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28"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6F39AB" w14:paraId="3DBA0899" w14:textId="77777777" w:rsidTr="006F39A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18" w:space="0" w:color="auto"/>
              <w:left w:val="single" w:sz="8" w:space="0" w:color="FFFFFF" w:themeColor="background1"/>
              <w:bottom w:val="single" w:sz="4" w:space="0" w:color="D9D9D9" w:themeColor="background1" w:themeShade="D9"/>
            </w:tcBorders>
          </w:tcPr>
          <w:p w14:paraId="0483D049" w14:textId="51B62B18" w:rsidR="006F39AB" w:rsidRPr="00DB7774" w:rsidRDefault="006F39AB" w:rsidP="00F81304">
            <w:pPr>
              <w:spacing w:before="120" w:line="276" w:lineRule="auto"/>
              <w:rPr>
                <w:rFonts w:ascii="Arial" w:hAnsi="Arial" w:cs="Arial"/>
                <w:sz w:val="20"/>
                <w:szCs w:val="20"/>
              </w:rPr>
            </w:pPr>
            <w:r w:rsidRPr="00C978B9">
              <w:rPr>
                <w:noProof/>
                <w:lang w:eastAsia="en-AU"/>
              </w:rPr>
              <w:drawing>
                <wp:inline distT="0" distB="0" distL="0" distR="0" wp14:anchorId="54A00A5D" wp14:editId="1ABA790A">
                  <wp:extent cx="848995" cy="848995"/>
                  <wp:effectExtent l="0" t="0" r="8255" b="8255"/>
                  <wp:docPr id="9"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86" w:type="dxa"/>
            <w:tcBorders>
              <w:top w:val="single" w:sz="18" w:space="0" w:color="auto"/>
              <w:bottom w:val="single" w:sz="8" w:space="0" w:color="D9D9D9" w:themeColor="background1" w:themeShade="D9"/>
            </w:tcBorders>
          </w:tcPr>
          <w:p w14:paraId="4FDA345F" w14:textId="482AD3DB" w:rsidR="006F39AB" w:rsidRPr="00F81304" w:rsidRDefault="006F39AB" w:rsidP="00F8130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color w:val="000000"/>
                <w:sz w:val="20"/>
                <w:szCs w:val="20"/>
              </w:rPr>
              <w:t>Act with Integrity</w:t>
            </w:r>
          </w:p>
        </w:tc>
        <w:tc>
          <w:tcPr>
            <w:tcW w:w="5805" w:type="dxa"/>
            <w:tcBorders>
              <w:top w:val="single" w:sz="18" w:space="0" w:color="auto"/>
              <w:bottom w:val="single" w:sz="8" w:space="0" w:color="D9D9D9" w:themeColor="background1" w:themeShade="D9"/>
            </w:tcBorders>
          </w:tcPr>
          <w:p w14:paraId="0117EEAB" w14:textId="2E0E467C" w:rsidR="006F39AB" w:rsidRPr="00F81304" w:rsidRDefault="006F39AB" w:rsidP="00F8130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sz w:val="20"/>
                <w:szCs w:val="20"/>
              </w:rPr>
              <w:t>Be ethical and professional, and uphold and promote the public sector values</w:t>
            </w:r>
          </w:p>
        </w:tc>
        <w:tc>
          <w:tcPr>
            <w:tcW w:w="1328" w:type="dxa"/>
            <w:tcBorders>
              <w:top w:val="single" w:sz="18" w:space="0" w:color="auto"/>
              <w:bottom w:val="single" w:sz="8" w:space="0" w:color="D9D9D9" w:themeColor="background1" w:themeShade="D9"/>
              <w:right w:val="single" w:sz="8" w:space="0" w:color="FFFFFF" w:themeColor="background1"/>
            </w:tcBorders>
          </w:tcPr>
          <w:p w14:paraId="0E2BB48C" w14:textId="65CEB745" w:rsidR="006F39AB" w:rsidRPr="00DB7774" w:rsidRDefault="006F39AB" w:rsidP="00F8130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6F39AB" w14:paraId="686717D3" w14:textId="77777777" w:rsidTr="006F39AB">
        <w:trPr>
          <w:trHeight w:val="16"/>
        </w:trPr>
        <w:tc>
          <w:tcPr>
            <w:cnfStyle w:val="001000000000" w:firstRow="0" w:lastRow="0" w:firstColumn="1" w:lastColumn="0" w:oddVBand="0" w:evenVBand="0" w:oddHBand="0" w:evenHBand="0" w:firstRowFirstColumn="0" w:firstRowLastColumn="0" w:lastRowFirstColumn="0" w:lastRowLastColumn="0"/>
            <w:tcW w:w="1749" w:type="dxa"/>
            <w:vMerge/>
            <w:tcBorders>
              <w:top w:val="single" w:sz="4" w:space="0" w:color="9BBB59" w:themeColor="accent3"/>
              <w:left w:val="single" w:sz="8" w:space="0" w:color="FFFFFF" w:themeColor="background1"/>
              <w:bottom w:val="single" w:sz="4" w:space="0" w:color="D9D9D9" w:themeColor="background1" w:themeShade="D9"/>
            </w:tcBorders>
          </w:tcPr>
          <w:p w14:paraId="24E89B3B" w14:textId="77777777" w:rsidR="006F39AB" w:rsidRPr="00DB7774" w:rsidRDefault="006F39AB" w:rsidP="00F8130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0A97E6BA" w14:textId="74B2D949" w:rsidR="006F39AB" w:rsidRPr="00F81304" w:rsidRDefault="006F39AB" w:rsidP="00F813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color w:val="000000"/>
                <w:sz w:val="20"/>
                <w:szCs w:val="20"/>
              </w:rPr>
              <w:t>Manage Self</w:t>
            </w:r>
          </w:p>
        </w:tc>
        <w:tc>
          <w:tcPr>
            <w:tcW w:w="5805" w:type="dxa"/>
            <w:tcBorders>
              <w:top w:val="single" w:sz="8" w:space="0" w:color="D9D9D9" w:themeColor="background1" w:themeShade="D9"/>
              <w:bottom w:val="single" w:sz="8" w:space="0" w:color="D9D9D9" w:themeColor="background1" w:themeShade="D9"/>
            </w:tcBorders>
          </w:tcPr>
          <w:p w14:paraId="007B1B35" w14:textId="0C46C859" w:rsidR="006F39AB" w:rsidRPr="00F81304" w:rsidRDefault="006F39AB" w:rsidP="00F8130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Show drive and motivation, an ability to self-reflect and a commitment to learning</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6D1F1BA8" w:rsidR="006F39AB" w:rsidRPr="00DB7774" w:rsidRDefault="006F39AB" w:rsidP="00F813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6F39AB" w14:paraId="2E40E26E" w14:textId="77777777" w:rsidTr="006F39AB">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4" w:space="0" w:color="D9D9D9" w:themeColor="background1" w:themeShade="D9"/>
            </w:tcBorders>
          </w:tcPr>
          <w:p w14:paraId="5609DC85" w14:textId="186537D0" w:rsidR="006F39AB" w:rsidRPr="00DB7774" w:rsidRDefault="006F39AB" w:rsidP="00F8130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535DBAD3" w14:textId="18F70EA1" w:rsidR="006F39AB" w:rsidRPr="00F81304" w:rsidRDefault="006F39AB" w:rsidP="00F8130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color w:val="000000"/>
                <w:sz w:val="20"/>
                <w:szCs w:val="20"/>
              </w:rPr>
              <w:t>Value Diversity and Inclusion</w:t>
            </w:r>
          </w:p>
        </w:tc>
        <w:tc>
          <w:tcPr>
            <w:tcW w:w="5805" w:type="dxa"/>
            <w:tcBorders>
              <w:top w:val="single" w:sz="8" w:space="0" w:color="D9D9D9" w:themeColor="background1" w:themeShade="D9"/>
              <w:bottom w:val="single" w:sz="8" w:space="0" w:color="D9D9D9" w:themeColor="background1" w:themeShade="D9"/>
            </w:tcBorders>
          </w:tcPr>
          <w:p w14:paraId="4DD508B1" w14:textId="58F8EEAF" w:rsidR="006F39AB" w:rsidRPr="00F81304" w:rsidRDefault="006F39AB" w:rsidP="00F81304">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1304">
              <w:rPr>
                <w:rFonts w:ascii="Arial" w:hAnsi="Arial" w:cs="Arial"/>
                <w:sz w:val="20"/>
                <w:szCs w:val="20"/>
              </w:rPr>
              <w:t>Demonstrate inclusive behaviour and show respect for diverse backgrounds, experiences and perspectives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4A74EC4B" w:rsidR="006F39AB" w:rsidRPr="00DB7774" w:rsidRDefault="006F39AB" w:rsidP="00F8130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6F39AB" w14:paraId="1870CCC1" w14:textId="77777777" w:rsidTr="006F39AB">
        <w:trPr>
          <w:trHeight w:val="5"/>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4" w:space="0" w:color="D9D9D9" w:themeColor="background1" w:themeShade="D9"/>
              <w:left w:val="single" w:sz="8" w:space="0" w:color="FFFFFF" w:themeColor="background1"/>
            </w:tcBorders>
          </w:tcPr>
          <w:p w14:paraId="0A3B5B33" w14:textId="7E1AE640" w:rsidR="006F39AB" w:rsidRPr="00DB7774" w:rsidRDefault="006F39AB" w:rsidP="00F81304">
            <w:pPr>
              <w:spacing w:before="120" w:line="276" w:lineRule="auto"/>
              <w:rPr>
                <w:rFonts w:ascii="Arial" w:hAnsi="Arial" w:cs="Arial"/>
                <w:sz w:val="20"/>
                <w:szCs w:val="20"/>
              </w:rPr>
            </w:pPr>
            <w:r w:rsidRPr="00C978B9">
              <w:rPr>
                <w:noProof/>
                <w:lang w:eastAsia="en-AU"/>
              </w:rPr>
              <w:drawing>
                <wp:inline distT="0" distB="0" distL="0" distR="0" wp14:anchorId="69000E39" wp14:editId="422E8CFB">
                  <wp:extent cx="854016" cy="854016"/>
                  <wp:effectExtent l="0" t="0" r="3810" b="3810"/>
                  <wp:docPr id="10"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22266C36" w14:textId="60E99241" w:rsidR="006F39AB" w:rsidRPr="00F81304" w:rsidRDefault="006F39AB" w:rsidP="00F813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1304">
              <w:rPr>
                <w:rFonts w:ascii="Arial" w:hAnsi="Arial" w:cs="Arial"/>
                <w:sz w:val="20"/>
                <w:szCs w:val="20"/>
              </w:rPr>
              <w:t>Communicate Effectively</w:t>
            </w:r>
          </w:p>
        </w:tc>
        <w:tc>
          <w:tcPr>
            <w:tcW w:w="5805" w:type="dxa"/>
            <w:tcBorders>
              <w:top w:val="single" w:sz="8" w:space="0" w:color="D9D9D9" w:themeColor="background1" w:themeShade="D9"/>
              <w:bottom w:val="single" w:sz="8" w:space="0" w:color="D9D9D9" w:themeColor="background1" w:themeShade="D9"/>
            </w:tcBorders>
          </w:tcPr>
          <w:p w14:paraId="37122A0C" w14:textId="7B9CA9EA" w:rsidR="006F39AB" w:rsidRPr="00F81304" w:rsidRDefault="006F39AB" w:rsidP="00F8130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F81304">
              <w:rPr>
                <w:rFonts w:cs="Arial"/>
              </w:rPr>
              <w:t>Communicate clearly, actively listen to others, and respond with understanding and respect</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19FC404E" w:rsidR="006F39AB" w:rsidRPr="00DB7774" w:rsidRDefault="006F39AB" w:rsidP="00F813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6F39AB" w14:paraId="2B157A66" w14:textId="77777777" w:rsidTr="006F39A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8" w:space="0" w:color="BCBEC0"/>
            </w:tcBorders>
          </w:tcPr>
          <w:p w14:paraId="476864EF" w14:textId="77777777" w:rsidR="006F39AB" w:rsidRPr="00DB7774" w:rsidRDefault="006F39AB" w:rsidP="00570342">
            <w:pPr>
              <w:spacing w:before="120"/>
              <w:rPr>
                <w:rFonts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0AF500B1" w14:textId="3F96AAEA" w:rsidR="006F39AB" w:rsidRPr="00570342" w:rsidRDefault="006F39AB" w:rsidP="00570342">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0342">
              <w:rPr>
                <w:rFonts w:ascii="Arial" w:hAnsi="Arial" w:cs="Arial"/>
                <w:sz w:val="20"/>
                <w:szCs w:val="20"/>
              </w:rPr>
              <w:t>Influence and Negotiate</w:t>
            </w:r>
          </w:p>
        </w:tc>
        <w:tc>
          <w:tcPr>
            <w:tcW w:w="5805" w:type="dxa"/>
            <w:tcBorders>
              <w:top w:val="single" w:sz="8" w:space="0" w:color="D9D9D9" w:themeColor="background1" w:themeShade="D9"/>
              <w:bottom w:val="single" w:sz="8" w:space="0" w:color="D9D9D9" w:themeColor="background1" w:themeShade="D9"/>
            </w:tcBorders>
          </w:tcPr>
          <w:p w14:paraId="74282DEF" w14:textId="1227A37C" w:rsidR="006F39AB" w:rsidRPr="00DB7774" w:rsidRDefault="006F39AB" w:rsidP="00570342">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570342">
              <w:rPr>
                <w:rFonts w:cs="Arial"/>
              </w:rPr>
              <w:t>Gain consensus and commitment from others, and resolve issues and conflicts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4772D66" w14:textId="0995AA99" w:rsidR="006F39AB" w:rsidRPr="00570342" w:rsidRDefault="006F39AB" w:rsidP="00570342">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0342">
              <w:rPr>
                <w:rFonts w:ascii="Arial" w:hAnsi="Arial" w:cs="Arial"/>
                <w:sz w:val="20"/>
                <w:szCs w:val="20"/>
              </w:rPr>
              <w:t>Adept</w:t>
            </w:r>
          </w:p>
        </w:tc>
      </w:tr>
      <w:tr w:rsidR="00570342" w14:paraId="50D07CEB" w14:textId="77777777" w:rsidTr="006F39AB">
        <w:trPr>
          <w:trHeight w:val="5"/>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8" w:space="0" w:color="BCBEC0"/>
              <w:left w:val="single" w:sz="8" w:space="0" w:color="FFFFFF" w:themeColor="background1"/>
              <w:bottom w:val="single" w:sz="8" w:space="0" w:color="BCBEC0"/>
            </w:tcBorders>
          </w:tcPr>
          <w:p w14:paraId="561AECFA" w14:textId="14D599F5" w:rsidR="00570342" w:rsidRPr="00DB7774" w:rsidRDefault="00570342" w:rsidP="00570342">
            <w:pPr>
              <w:spacing w:before="120" w:line="276" w:lineRule="auto"/>
              <w:rPr>
                <w:rFonts w:ascii="Arial" w:hAnsi="Arial" w:cs="Arial"/>
                <w:sz w:val="20"/>
                <w:szCs w:val="20"/>
              </w:rPr>
            </w:pPr>
            <w:r w:rsidRPr="00C978B9">
              <w:rPr>
                <w:noProof/>
                <w:lang w:eastAsia="en-AU"/>
              </w:rPr>
              <w:drawing>
                <wp:inline distT="0" distB="0" distL="0" distR="0" wp14:anchorId="618004DF" wp14:editId="0747DA0C">
                  <wp:extent cx="854015" cy="854015"/>
                  <wp:effectExtent l="0" t="0" r="3810" b="3810"/>
                  <wp:docPr id="12"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620211AE" w14:textId="1E6FA411" w:rsidR="00570342" w:rsidRPr="00DB7774" w:rsidRDefault="00570342" w:rsidP="00570342">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0342">
              <w:rPr>
                <w:rFonts w:ascii="Arial" w:hAnsi="Arial" w:cs="Arial"/>
                <w:sz w:val="20"/>
                <w:szCs w:val="20"/>
              </w:rPr>
              <w:t>Plan and Prioritise</w:t>
            </w:r>
          </w:p>
        </w:tc>
        <w:tc>
          <w:tcPr>
            <w:tcW w:w="5805" w:type="dxa"/>
            <w:tcBorders>
              <w:top w:val="single" w:sz="8" w:space="0" w:color="D9D9D9" w:themeColor="background1" w:themeShade="D9"/>
              <w:bottom w:val="single" w:sz="8" w:space="0" w:color="D9D9D9" w:themeColor="background1" w:themeShade="D9"/>
            </w:tcBorders>
          </w:tcPr>
          <w:p w14:paraId="046D2F69" w14:textId="3BF5E230" w:rsidR="00570342" w:rsidRPr="00DB7774" w:rsidRDefault="00570342" w:rsidP="00570342">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570342">
              <w:rPr>
                <w:rFonts w:cs="Arial"/>
              </w:rPr>
              <w:t>Plan to achieve priority outcomes and respond flexibly to changing circumstances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2014D80E" w:rsidR="00570342" w:rsidRPr="00DB7774" w:rsidRDefault="006F39AB" w:rsidP="00570342">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570342" w14:paraId="48FC513F" w14:textId="77777777" w:rsidTr="006F39A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8" w:space="0" w:color="BCBEC0"/>
            </w:tcBorders>
          </w:tcPr>
          <w:p w14:paraId="1B22854C" w14:textId="77777777" w:rsidR="00570342" w:rsidRPr="00DB7774" w:rsidRDefault="00570342" w:rsidP="00570342">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166078CC" w14:textId="62F32640" w:rsidR="00570342" w:rsidRPr="00DB7774" w:rsidRDefault="00570342" w:rsidP="00570342">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0342">
              <w:rPr>
                <w:rFonts w:ascii="Arial" w:hAnsi="Arial" w:cs="Arial"/>
                <w:sz w:val="20"/>
                <w:szCs w:val="20"/>
              </w:rPr>
              <w:t>Think and Solve Problems</w:t>
            </w:r>
          </w:p>
        </w:tc>
        <w:tc>
          <w:tcPr>
            <w:tcW w:w="5805" w:type="dxa"/>
            <w:tcBorders>
              <w:top w:val="single" w:sz="8" w:space="0" w:color="D9D9D9" w:themeColor="background1" w:themeShade="D9"/>
              <w:bottom w:val="single" w:sz="8" w:space="0" w:color="D9D9D9" w:themeColor="background1" w:themeShade="D9"/>
            </w:tcBorders>
          </w:tcPr>
          <w:p w14:paraId="0E06E8D4" w14:textId="250F44C9" w:rsidR="00570342" w:rsidRPr="00DB7774" w:rsidRDefault="00570342" w:rsidP="00570342">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570342">
              <w:rPr>
                <w:rFonts w:cs="Arial"/>
              </w:rPr>
              <w:t>Think, analyse and consider the broader context to develop practical solutions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48DF5167" w:rsidR="00570342" w:rsidRPr="00DB7774" w:rsidRDefault="00570342" w:rsidP="00570342">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815CB">
              <w:rPr>
                <w:rFonts w:ascii="Arial" w:hAnsi="Arial" w:cs="Arial"/>
                <w:sz w:val="20"/>
                <w:szCs w:val="20"/>
              </w:rPr>
              <w:t>Adept</w:t>
            </w:r>
          </w:p>
        </w:tc>
      </w:tr>
      <w:tr w:rsidR="00570342" w14:paraId="02EE944A" w14:textId="77777777" w:rsidTr="006F39AB">
        <w:trPr>
          <w:trHeight w:val="5"/>
        </w:trPr>
        <w:tc>
          <w:tcPr>
            <w:cnfStyle w:val="001000000000" w:firstRow="0" w:lastRow="0" w:firstColumn="1" w:lastColumn="0" w:oddVBand="0" w:evenVBand="0" w:oddHBand="0" w:evenHBand="0" w:firstRowFirstColumn="0" w:firstRowLastColumn="0" w:lastRowFirstColumn="0" w:lastRowLastColumn="0"/>
            <w:tcW w:w="1749" w:type="dxa"/>
            <w:vMerge/>
            <w:tcBorders>
              <w:top w:val="single" w:sz="4" w:space="0" w:color="9BBB59" w:themeColor="accent3"/>
              <w:left w:val="single" w:sz="8" w:space="0" w:color="FFFFFF" w:themeColor="background1"/>
              <w:bottom w:val="single" w:sz="8" w:space="0" w:color="BCBEC0"/>
            </w:tcBorders>
          </w:tcPr>
          <w:p w14:paraId="4986A517" w14:textId="77777777" w:rsidR="00570342" w:rsidRPr="00DB7774" w:rsidRDefault="00570342" w:rsidP="00570342">
            <w:pPr>
              <w:spacing w:before="120"/>
              <w:rPr>
                <w:rFonts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4D784596" w14:textId="69870108" w:rsidR="00570342" w:rsidRPr="00570342" w:rsidRDefault="00570342" w:rsidP="0057034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70342">
              <w:rPr>
                <w:rFonts w:ascii="Arial" w:hAnsi="Arial" w:cs="Arial"/>
                <w:sz w:val="20"/>
                <w:szCs w:val="20"/>
              </w:rPr>
              <w:t>Demonstrate Accountability</w:t>
            </w:r>
          </w:p>
        </w:tc>
        <w:tc>
          <w:tcPr>
            <w:tcW w:w="5805" w:type="dxa"/>
            <w:tcBorders>
              <w:top w:val="single" w:sz="8" w:space="0" w:color="D9D9D9" w:themeColor="background1" w:themeShade="D9"/>
              <w:bottom w:val="single" w:sz="8" w:space="0" w:color="D9D9D9" w:themeColor="background1" w:themeShade="D9"/>
            </w:tcBorders>
          </w:tcPr>
          <w:p w14:paraId="1A126A5B" w14:textId="7B3F7A14" w:rsidR="00570342" w:rsidRPr="00570342" w:rsidRDefault="00570342" w:rsidP="00570342">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570342">
              <w:rPr>
                <w:rFonts w:cs="Arial"/>
              </w:rPr>
              <w:t>Be proactive and responsible for own actions, and adhere to legislation, policy and guidelines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F86D6E3" w14:textId="23F88F57" w:rsidR="00570342" w:rsidRPr="00570342" w:rsidRDefault="00570342" w:rsidP="00570342">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0342">
              <w:rPr>
                <w:rFonts w:ascii="Arial" w:hAnsi="Arial" w:cs="Arial"/>
                <w:sz w:val="20"/>
                <w:szCs w:val="20"/>
              </w:rPr>
              <w:t>Intermediate</w:t>
            </w:r>
          </w:p>
        </w:tc>
      </w:tr>
      <w:tr w:rsidR="00570342" w14:paraId="07088B2B" w14:textId="77777777" w:rsidTr="006F39A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8" w:space="0" w:color="BCBEC0"/>
              <w:left w:val="single" w:sz="8" w:space="0" w:color="FFFFFF" w:themeColor="background1"/>
            </w:tcBorders>
          </w:tcPr>
          <w:p w14:paraId="19C07884" w14:textId="7CAD2056" w:rsidR="00570342" w:rsidRPr="00DB7774" w:rsidRDefault="00570342" w:rsidP="00570342">
            <w:pPr>
              <w:spacing w:before="120"/>
              <w:rPr>
                <w:rFonts w:cs="Arial"/>
                <w:sz w:val="20"/>
                <w:szCs w:val="20"/>
              </w:rPr>
            </w:pPr>
            <w:r w:rsidRPr="00C978B9">
              <w:rPr>
                <w:noProof/>
                <w:lang w:eastAsia="en-AU"/>
              </w:rPr>
              <w:drawing>
                <wp:inline distT="0" distB="0" distL="0" distR="0" wp14:anchorId="18BE8518" wp14:editId="6004BB50">
                  <wp:extent cx="845388" cy="845388"/>
                  <wp:effectExtent l="0" t="0" r="0" b="0"/>
                  <wp:docPr id="14"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BCBEC0"/>
            </w:tcBorders>
          </w:tcPr>
          <w:p w14:paraId="07DC1EAC" w14:textId="4D3B39DD" w:rsidR="00570342" w:rsidRPr="00570342" w:rsidRDefault="00570342" w:rsidP="00570342">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570342">
              <w:rPr>
                <w:rFonts w:ascii="Arial" w:hAnsi="Arial" w:cs="Arial"/>
                <w:sz w:val="20"/>
                <w:szCs w:val="20"/>
              </w:rPr>
              <w:t>Finance</w:t>
            </w:r>
          </w:p>
        </w:tc>
        <w:tc>
          <w:tcPr>
            <w:tcW w:w="5805" w:type="dxa"/>
            <w:tcBorders>
              <w:top w:val="single" w:sz="8" w:space="0" w:color="D9D9D9" w:themeColor="background1" w:themeShade="D9"/>
              <w:bottom w:val="single" w:sz="8" w:space="0" w:color="BCBEC0"/>
            </w:tcBorders>
          </w:tcPr>
          <w:p w14:paraId="2291613C" w14:textId="7427C300" w:rsidR="00570342" w:rsidRPr="00570342" w:rsidRDefault="00570342" w:rsidP="00570342">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570342">
              <w:rPr>
                <w:rFonts w:cs="Arial"/>
              </w:rPr>
              <w:t>Understand and apply financial processes to achieve value for money and minimise financial risk</w:t>
            </w:r>
          </w:p>
        </w:tc>
        <w:tc>
          <w:tcPr>
            <w:tcW w:w="1328" w:type="dxa"/>
            <w:tcBorders>
              <w:top w:val="single" w:sz="8" w:space="0" w:color="D9D9D9" w:themeColor="background1" w:themeShade="D9"/>
              <w:bottom w:val="single" w:sz="8" w:space="0" w:color="BCBEC0"/>
              <w:right w:val="single" w:sz="8" w:space="0" w:color="FFFFFF" w:themeColor="background1"/>
            </w:tcBorders>
          </w:tcPr>
          <w:p w14:paraId="3E4C0FD7" w14:textId="119FCAD5" w:rsidR="00570342" w:rsidRPr="00570342" w:rsidRDefault="00570342" w:rsidP="00570342">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0342">
              <w:rPr>
                <w:rFonts w:ascii="Arial" w:hAnsi="Arial" w:cs="Arial"/>
                <w:sz w:val="20"/>
                <w:szCs w:val="20"/>
              </w:rPr>
              <w:t>Intermediate</w:t>
            </w:r>
          </w:p>
        </w:tc>
      </w:tr>
      <w:tr w:rsidR="00570342" w14:paraId="364CEF63" w14:textId="77777777" w:rsidTr="00F81304">
        <w:trPr>
          <w:trHeight w:val="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8" w:space="0" w:color="BCBEC0"/>
            </w:tcBorders>
          </w:tcPr>
          <w:p w14:paraId="55C2F6A9" w14:textId="77777777" w:rsidR="00570342" w:rsidRPr="00DB7774" w:rsidRDefault="00570342" w:rsidP="00570342">
            <w:pPr>
              <w:spacing w:before="120"/>
              <w:rPr>
                <w:rFonts w:cs="Arial"/>
                <w:sz w:val="20"/>
                <w:szCs w:val="20"/>
              </w:rPr>
            </w:pPr>
          </w:p>
        </w:tc>
        <w:tc>
          <w:tcPr>
            <w:tcW w:w="1886" w:type="dxa"/>
            <w:tcBorders>
              <w:top w:val="single" w:sz="8" w:space="0" w:color="D9D9D9" w:themeColor="background1" w:themeShade="D9"/>
              <w:bottom w:val="single" w:sz="8" w:space="0" w:color="BCBEC0"/>
            </w:tcBorders>
          </w:tcPr>
          <w:p w14:paraId="337D8996" w14:textId="4B112F11" w:rsidR="00570342" w:rsidRPr="00570342" w:rsidRDefault="00570342" w:rsidP="0057034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70342">
              <w:rPr>
                <w:rFonts w:ascii="Arial" w:hAnsi="Arial" w:cs="Arial"/>
                <w:sz w:val="20"/>
                <w:szCs w:val="20"/>
              </w:rPr>
              <w:t>Procurement and Contract Management</w:t>
            </w:r>
          </w:p>
        </w:tc>
        <w:tc>
          <w:tcPr>
            <w:tcW w:w="5805" w:type="dxa"/>
            <w:tcBorders>
              <w:top w:val="single" w:sz="8" w:space="0" w:color="D9D9D9" w:themeColor="background1" w:themeShade="D9"/>
              <w:bottom w:val="single" w:sz="8" w:space="0" w:color="BCBEC0"/>
            </w:tcBorders>
          </w:tcPr>
          <w:p w14:paraId="72141150" w14:textId="6D476A40" w:rsidR="00570342" w:rsidRPr="00570342" w:rsidRDefault="00570342" w:rsidP="00570342">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570342">
              <w:rPr>
                <w:rFonts w:cs="Arial"/>
              </w:rPr>
              <w:t>Understand and apply procurement processes to ensure effective purchasing and contract performance</w:t>
            </w:r>
          </w:p>
        </w:tc>
        <w:tc>
          <w:tcPr>
            <w:tcW w:w="1328" w:type="dxa"/>
            <w:tcBorders>
              <w:top w:val="single" w:sz="8" w:space="0" w:color="D9D9D9" w:themeColor="background1" w:themeShade="D9"/>
              <w:bottom w:val="single" w:sz="8" w:space="0" w:color="BCBEC0"/>
              <w:right w:val="single" w:sz="8" w:space="0" w:color="FFFFFF" w:themeColor="background1"/>
            </w:tcBorders>
          </w:tcPr>
          <w:p w14:paraId="06E91164" w14:textId="691708A0" w:rsidR="00570342" w:rsidRPr="004815CB" w:rsidRDefault="00570342" w:rsidP="0057034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4815CB">
              <w:rPr>
                <w:rFonts w:ascii="Arial" w:hAnsi="Arial" w:cs="Arial"/>
                <w:sz w:val="20"/>
                <w:szCs w:val="20"/>
              </w:rPr>
              <w:t>Adept</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875" w:type="dxa"/>
        <w:tblLook w:val="04A0" w:firstRow="1" w:lastRow="0" w:firstColumn="1" w:lastColumn="0" w:noHBand="0" w:noVBand="1"/>
      </w:tblPr>
      <w:tblGrid>
        <w:gridCol w:w="2022"/>
        <w:gridCol w:w="1947"/>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931C7F">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931C7F">
        <w:trPr>
          <w:cantSplit/>
        </w:trPr>
        <w:tc>
          <w:tcPr>
            <w:tcW w:w="2022" w:type="dxa"/>
            <w:tcBorders>
              <w:top w:val="single" w:sz="18" w:space="0" w:color="auto"/>
            </w:tcBorders>
            <w:vAlign w:val="center"/>
          </w:tcPr>
          <w:p w14:paraId="2FBE549D" w14:textId="77777777" w:rsidR="00570342" w:rsidRPr="00570342" w:rsidRDefault="00570342" w:rsidP="00570342">
            <w:pPr>
              <w:spacing w:before="120"/>
              <w:rPr>
                <w:rFonts w:cs="Arial"/>
                <w:color w:val="000000"/>
              </w:rPr>
            </w:pPr>
            <w:r w:rsidRPr="00570342">
              <w:rPr>
                <w:rFonts w:cs="Arial"/>
                <w:color w:val="000000"/>
              </w:rPr>
              <w:t>Methods and tools</w:t>
            </w:r>
          </w:p>
          <w:p w14:paraId="769C2633" w14:textId="717DE9B2" w:rsidR="00923772" w:rsidRPr="00DB7774" w:rsidRDefault="00923772"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090301F6" w14:textId="77777777" w:rsidR="00570342" w:rsidRDefault="00570342" w:rsidP="00DB7774">
            <w:pPr>
              <w:pStyle w:val="TableTextWhite0"/>
              <w:keepNext/>
              <w:keepLines/>
              <w:spacing w:before="120" w:line="276" w:lineRule="auto"/>
              <w:rPr>
                <w:rFonts w:cs="Arial"/>
                <w:b w:val="0"/>
                <w:bCs/>
                <w:color w:val="auto"/>
              </w:rPr>
            </w:pPr>
            <w:r w:rsidRPr="00570342">
              <w:rPr>
                <w:rFonts w:cs="Arial"/>
                <w:b w:val="0"/>
                <w:bCs/>
                <w:color w:val="auto"/>
              </w:rPr>
              <w:t>Strategy and architecture</w:t>
            </w:r>
            <w:r w:rsidRPr="00570342">
              <w:rPr>
                <w:rFonts w:cs="Arial"/>
                <w:b w:val="0"/>
                <w:bCs/>
                <w:color w:val="auto"/>
              </w:rPr>
              <w:tab/>
            </w:r>
          </w:p>
          <w:p w14:paraId="1FCC3AEE" w14:textId="7A0766E3" w:rsidR="00923772" w:rsidRPr="00DB7774" w:rsidRDefault="00570342" w:rsidP="00DB7774">
            <w:pPr>
              <w:pStyle w:val="TableTextWhite0"/>
              <w:keepNext/>
              <w:keepLines/>
              <w:spacing w:before="120" w:line="276" w:lineRule="auto"/>
              <w:rPr>
                <w:rFonts w:cs="Arial"/>
                <w:b w:val="0"/>
                <w:bCs/>
                <w:color w:val="auto"/>
              </w:rPr>
            </w:pPr>
            <w:r w:rsidRPr="00570342">
              <w:rPr>
                <w:rFonts w:cs="Arial"/>
                <w:b w:val="0"/>
                <w:bCs/>
                <w:color w:val="auto"/>
              </w:rPr>
              <w:t>Technical strategy and planning</w:t>
            </w:r>
          </w:p>
        </w:tc>
        <w:tc>
          <w:tcPr>
            <w:tcW w:w="5072" w:type="dxa"/>
            <w:tcBorders>
              <w:top w:val="single" w:sz="18" w:space="0" w:color="auto"/>
            </w:tcBorders>
            <w:shd w:val="clear" w:color="auto" w:fill="auto"/>
          </w:tcPr>
          <w:p w14:paraId="452F5BAD" w14:textId="616A553B" w:rsidR="00923772" w:rsidRPr="00DB7774" w:rsidRDefault="00570342" w:rsidP="00DB7774">
            <w:pPr>
              <w:pStyle w:val="TableTextWhite0"/>
              <w:keepNext/>
              <w:keepLines/>
              <w:spacing w:before="120" w:line="276" w:lineRule="auto"/>
              <w:rPr>
                <w:rFonts w:cs="Arial"/>
                <w:b w:val="0"/>
                <w:bCs/>
                <w:color w:val="auto"/>
              </w:rPr>
            </w:pPr>
            <w:r w:rsidRPr="00570342">
              <w:rPr>
                <w:rFonts w:cs="Arial"/>
                <w:b w:val="0"/>
                <w:bCs/>
                <w:color w:val="auto"/>
              </w:rPr>
              <w:t>The definition, tailoring, implementation, assessment, measurement, automation and improvement of methods and tools to support planning, development, testing, operation, management and maintenance of systems. Ensuring methods and tools are adopted and used effectively throughout the organisation.</w:t>
            </w:r>
          </w:p>
        </w:tc>
        <w:tc>
          <w:tcPr>
            <w:tcW w:w="1834" w:type="dxa"/>
            <w:gridSpan w:val="2"/>
            <w:tcBorders>
              <w:top w:val="single" w:sz="18" w:space="0" w:color="auto"/>
            </w:tcBorders>
            <w:shd w:val="clear" w:color="auto" w:fill="auto"/>
          </w:tcPr>
          <w:p w14:paraId="2BD6AB99" w14:textId="7273701A" w:rsidR="00923772" w:rsidRDefault="00570342" w:rsidP="00DB7774">
            <w:pPr>
              <w:pStyle w:val="TableTextWhite0"/>
              <w:keepNext/>
              <w:keepLines/>
              <w:spacing w:before="120" w:line="276" w:lineRule="auto"/>
              <w:rPr>
                <w:rFonts w:cs="Arial"/>
                <w:b w:val="0"/>
                <w:bCs/>
                <w:color w:val="auto"/>
              </w:rPr>
            </w:pPr>
            <w:r>
              <w:rPr>
                <w:rFonts w:cs="Arial"/>
                <w:b w:val="0"/>
                <w:bCs/>
                <w:color w:val="auto"/>
              </w:rPr>
              <w:t>ME</w:t>
            </w:r>
            <w:r w:rsidR="004179C6">
              <w:rPr>
                <w:rFonts w:cs="Arial"/>
                <w:b w:val="0"/>
                <w:bCs/>
                <w:color w:val="auto"/>
              </w:rPr>
              <w:t>TL</w:t>
            </w:r>
          </w:p>
          <w:p w14:paraId="68BC1E90" w14:textId="32245FB0" w:rsidR="00570342" w:rsidRPr="00DB7774" w:rsidRDefault="00570342" w:rsidP="00DB7774">
            <w:pPr>
              <w:pStyle w:val="TableTextWhite0"/>
              <w:keepNext/>
              <w:keepLines/>
              <w:spacing w:before="120" w:line="276" w:lineRule="auto"/>
              <w:rPr>
                <w:rFonts w:cs="Arial"/>
                <w:b w:val="0"/>
                <w:bCs/>
                <w:color w:val="auto"/>
              </w:rPr>
            </w:pPr>
            <w:r>
              <w:rPr>
                <w:rFonts w:cs="Arial"/>
                <w:b w:val="0"/>
                <w:bCs/>
                <w:color w:val="auto"/>
              </w:rPr>
              <w:t>Level 5</w:t>
            </w:r>
          </w:p>
        </w:tc>
      </w:tr>
      <w:tr w:rsidR="00BD34CA" w:rsidRPr="00BD34CA" w14:paraId="6BA8CAC6" w14:textId="77777777" w:rsidTr="00931C7F">
        <w:trPr>
          <w:cantSplit/>
        </w:trPr>
        <w:tc>
          <w:tcPr>
            <w:tcW w:w="2022" w:type="dxa"/>
          </w:tcPr>
          <w:p w14:paraId="14B37778" w14:textId="0706D000" w:rsidR="00923772" w:rsidRPr="00DB7774" w:rsidRDefault="00570342" w:rsidP="00DB7774">
            <w:pPr>
              <w:pStyle w:val="TableTextWhite0"/>
              <w:keepNext/>
              <w:keepLines/>
              <w:spacing w:before="120" w:line="276" w:lineRule="auto"/>
              <w:rPr>
                <w:rFonts w:cs="Arial"/>
                <w:b w:val="0"/>
                <w:bCs/>
                <w:color w:val="auto"/>
              </w:rPr>
            </w:pPr>
            <w:r w:rsidRPr="00570342">
              <w:rPr>
                <w:rFonts w:cs="Arial"/>
                <w:b w:val="0"/>
                <w:bCs/>
                <w:color w:val="auto"/>
              </w:rPr>
              <w:t>Business analysis</w:t>
            </w:r>
            <w:r w:rsidRPr="00DB7774">
              <w:rPr>
                <w:rFonts w:cs="Arial"/>
                <w:b w:val="0"/>
                <w:bCs/>
                <w:noProof/>
                <w:color w:val="auto"/>
              </w:rPr>
              <w:drawing>
                <wp:inline distT="0" distB="0" distL="0" distR="0" wp14:anchorId="2B664281" wp14:editId="0D1212AD">
                  <wp:extent cx="1247775" cy="572858"/>
                  <wp:effectExtent l="0" t="0" r="0" b="0"/>
                  <wp:docPr id="15" name="Picture 1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shd w:val="clear" w:color="auto" w:fill="auto"/>
          </w:tcPr>
          <w:p w14:paraId="75176D28" w14:textId="77777777" w:rsidR="00570342" w:rsidRDefault="00570342" w:rsidP="00DB7774">
            <w:pPr>
              <w:pStyle w:val="TableTextWhite0"/>
              <w:keepNext/>
              <w:keepLines/>
              <w:spacing w:before="120" w:line="276" w:lineRule="auto"/>
              <w:rPr>
                <w:rFonts w:cs="Arial"/>
                <w:b w:val="0"/>
                <w:bCs/>
                <w:color w:val="auto"/>
              </w:rPr>
            </w:pPr>
            <w:r w:rsidRPr="00570342">
              <w:rPr>
                <w:rFonts w:cs="Arial"/>
                <w:b w:val="0"/>
                <w:bCs/>
                <w:color w:val="auto"/>
              </w:rPr>
              <w:t>Change and transformation</w:t>
            </w:r>
            <w:r w:rsidRPr="00570342">
              <w:rPr>
                <w:rFonts w:cs="Arial"/>
                <w:b w:val="0"/>
                <w:bCs/>
                <w:color w:val="auto"/>
              </w:rPr>
              <w:tab/>
            </w:r>
          </w:p>
          <w:p w14:paraId="47724125" w14:textId="6287215A" w:rsidR="00923772" w:rsidRPr="00DB7774" w:rsidRDefault="00570342" w:rsidP="00DB7774">
            <w:pPr>
              <w:pStyle w:val="TableTextWhite0"/>
              <w:keepNext/>
              <w:keepLines/>
              <w:spacing w:before="120" w:line="276" w:lineRule="auto"/>
              <w:rPr>
                <w:rFonts w:cs="Arial"/>
                <w:b w:val="0"/>
                <w:bCs/>
                <w:color w:val="auto"/>
              </w:rPr>
            </w:pPr>
            <w:r w:rsidRPr="00570342">
              <w:rPr>
                <w:rFonts w:cs="Arial"/>
                <w:b w:val="0"/>
                <w:bCs/>
                <w:color w:val="auto"/>
              </w:rPr>
              <w:t>Business change management</w:t>
            </w:r>
          </w:p>
        </w:tc>
        <w:tc>
          <w:tcPr>
            <w:tcW w:w="5072" w:type="dxa"/>
            <w:shd w:val="clear" w:color="auto" w:fill="auto"/>
          </w:tcPr>
          <w:p w14:paraId="0E458B72" w14:textId="189147C3" w:rsidR="00923772" w:rsidRPr="00DB7774" w:rsidRDefault="00570342" w:rsidP="00DB7774">
            <w:pPr>
              <w:pStyle w:val="TableTextWhite0"/>
              <w:keepNext/>
              <w:keepLines/>
              <w:spacing w:before="120" w:line="276" w:lineRule="auto"/>
              <w:rPr>
                <w:rFonts w:cs="Arial"/>
                <w:b w:val="0"/>
                <w:bCs/>
                <w:color w:val="auto"/>
              </w:rPr>
            </w:pPr>
            <w:r w:rsidRPr="00570342">
              <w:rPr>
                <w:rFonts w:cs="Arial"/>
                <w:b w:val="0"/>
                <w:bCs/>
                <w:color w:val="auto"/>
              </w:rPr>
              <w:t>The methodical investigation, analysis, review and documentation of all or part of a business in terms of business goals, objectives, functions and processes, the information used and the data on which the information is based. The definition of requirements for improving processes and systems, reducing their costs, enhancing their sustainability, and the quantification of potential business benefits. The collaborative creation and iteration of viable specifications and acceptance criteria in preparation for the deployment of information and communication systems. The adoption and adaptation of business analysis approaches based on the context of the work and selecting appropriately from predictive (plan-driven) approaches or adaptive (iterative/agile) approaches.</w:t>
            </w:r>
          </w:p>
        </w:tc>
        <w:tc>
          <w:tcPr>
            <w:tcW w:w="1834" w:type="dxa"/>
            <w:gridSpan w:val="2"/>
            <w:shd w:val="clear" w:color="auto" w:fill="auto"/>
          </w:tcPr>
          <w:p w14:paraId="1FAFF57F" w14:textId="77777777" w:rsidR="00923772" w:rsidRDefault="00570342" w:rsidP="00DB7774">
            <w:pPr>
              <w:pStyle w:val="TableTextWhite0"/>
              <w:keepNext/>
              <w:keepLines/>
              <w:spacing w:before="120" w:line="276" w:lineRule="auto"/>
              <w:rPr>
                <w:rFonts w:cs="Arial"/>
                <w:b w:val="0"/>
                <w:bCs/>
                <w:color w:val="auto"/>
              </w:rPr>
            </w:pPr>
            <w:r>
              <w:rPr>
                <w:rFonts w:cs="Arial"/>
                <w:b w:val="0"/>
                <w:bCs/>
                <w:color w:val="auto"/>
              </w:rPr>
              <w:t>BUAN</w:t>
            </w:r>
          </w:p>
          <w:p w14:paraId="207CB7ED" w14:textId="6BD3DA6A" w:rsidR="00570342" w:rsidRPr="00DB7774" w:rsidRDefault="00570342" w:rsidP="00DB7774">
            <w:pPr>
              <w:pStyle w:val="TableTextWhite0"/>
              <w:keepNext/>
              <w:keepLines/>
              <w:spacing w:before="120" w:line="276" w:lineRule="auto"/>
              <w:rPr>
                <w:rFonts w:cs="Arial"/>
                <w:b w:val="0"/>
                <w:bCs/>
                <w:color w:val="auto"/>
              </w:rPr>
            </w:pPr>
            <w:r>
              <w:rPr>
                <w:rFonts w:cs="Arial"/>
                <w:b w:val="0"/>
                <w:bCs/>
                <w:color w:val="auto"/>
              </w:rPr>
              <w:t>Level 5</w:t>
            </w:r>
          </w:p>
        </w:tc>
      </w:tr>
    </w:tbl>
    <w:p w14:paraId="0DDB8976" w14:textId="187AD4B1" w:rsidR="00313197" w:rsidRPr="003927AE" w:rsidRDefault="00313197" w:rsidP="003927AE"/>
    <w:sectPr w:rsidR="00313197"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99A4" w14:textId="77777777" w:rsidR="00164608" w:rsidRDefault="00164608" w:rsidP="00BB532F">
      <w:pPr>
        <w:spacing w:after="0" w:line="240" w:lineRule="auto"/>
      </w:pPr>
      <w:r>
        <w:separator/>
      </w:r>
    </w:p>
  </w:endnote>
  <w:endnote w:type="continuationSeparator" w:id="0">
    <w:p w14:paraId="0B9AA92F" w14:textId="77777777" w:rsidR="00164608" w:rsidRDefault="0016460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79EEE2EF" w:rsidR="00C03AFD" w:rsidRDefault="00C03AFD" w:rsidP="00C03AFD">
          <w:pPr>
            <w:pStyle w:val="Footer"/>
          </w:pPr>
          <w:r w:rsidRPr="00C03AFD">
            <w:rPr>
              <w:color w:val="928B81"/>
              <w:sz w:val="18"/>
            </w:rPr>
            <w:t>Role Description</w:t>
          </w:r>
          <w:r w:rsidR="00443BCB">
            <w:rPr>
              <w:color w:val="928B81"/>
              <w:sz w:val="18"/>
            </w:rPr>
            <w:t xml:space="preserve">  </w:t>
          </w:r>
          <w:r w:rsidR="005508D3" w:rsidRPr="005508D3">
            <w:rPr>
              <w:b/>
              <w:color w:val="928B81"/>
              <w:sz w:val="18"/>
            </w:rPr>
            <w:t>Scrum Master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37FD" w14:textId="77777777" w:rsidR="00164608" w:rsidRDefault="00164608" w:rsidP="00BB532F">
      <w:pPr>
        <w:spacing w:after="0" w:line="240" w:lineRule="auto"/>
      </w:pPr>
      <w:r>
        <w:separator/>
      </w:r>
    </w:p>
  </w:footnote>
  <w:footnote w:type="continuationSeparator" w:id="0">
    <w:p w14:paraId="179B7841" w14:textId="77777777" w:rsidR="00164608" w:rsidRDefault="0016460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413DE6E8" w:rsidR="00935EE2" w:rsidRPr="00935EE2" w:rsidRDefault="005508D3" w:rsidP="001C2248">
          <w:pPr>
            <w:pStyle w:val="TitleSub"/>
            <w:spacing w:after="0"/>
            <w:rPr>
              <w:rFonts w:ascii="Arial" w:hAnsi="Arial" w:cs="Arial"/>
              <w:b/>
            </w:rPr>
          </w:pPr>
          <w:r w:rsidRPr="005508D3">
            <w:rPr>
              <w:rFonts w:ascii="Arial" w:hAnsi="Arial" w:cs="Arial"/>
              <w:b/>
            </w:rPr>
            <w:t>Scrum Master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D35E3A"/>
    <w:multiLevelType w:val="hybridMultilevel"/>
    <w:tmpl w:val="6FE19B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F7E5B"/>
    <w:multiLevelType w:val="hybridMultilevel"/>
    <w:tmpl w:val="6D87BD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8F3EB0"/>
    <w:multiLevelType w:val="hybridMultilevel"/>
    <w:tmpl w:val="1A718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0"/>
  </w:num>
  <w:num w:numId="5">
    <w:abstractNumId w:val="1"/>
  </w:num>
  <w:num w:numId="6">
    <w:abstractNumId w:val="1"/>
  </w:num>
  <w:num w:numId="7">
    <w:abstractNumId w:val="1"/>
  </w:num>
  <w:num w:numId="8">
    <w:abstractNumId w:val="1"/>
  </w:num>
  <w:num w:numId="9">
    <w:abstractNumId w:val="1"/>
  </w:num>
  <w:num w:numId="10">
    <w:abstractNumId w:val="8"/>
  </w:num>
  <w:num w:numId="11">
    <w:abstractNumId w:val="3"/>
  </w:num>
  <w:num w:numId="12">
    <w:abstractNumId w:val="4"/>
  </w:num>
  <w:num w:numId="13">
    <w:abstractNumId w:val="2"/>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4608"/>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179C6"/>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08D3"/>
    <w:rsid w:val="00551038"/>
    <w:rsid w:val="00570342"/>
    <w:rsid w:val="00585920"/>
    <w:rsid w:val="0059035B"/>
    <w:rsid w:val="005A397B"/>
    <w:rsid w:val="005B10E1"/>
    <w:rsid w:val="005B5053"/>
    <w:rsid w:val="005B7A5D"/>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C6151"/>
    <w:rsid w:val="006D1FBC"/>
    <w:rsid w:val="006E28E7"/>
    <w:rsid w:val="006F39AB"/>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3786E"/>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3404"/>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1304"/>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5508D3"/>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0981">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17223857">
      <w:bodyDiv w:val="1"/>
      <w:marLeft w:val="0"/>
      <w:marRight w:val="0"/>
      <w:marTop w:val="0"/>
      <w:marBottom w:val="0"/>
      <w:divBdr>
        <w:top w:val="none" w:sz="0" w:space="0" w:color="auto"/>
        <w:left w:val="none" w:sz="0" w:space="0" w:color="auto"/>
        <w:bottom w:val="none" w:sz="0" w:space="0" w:color="auto"/>
        <w:right w:val="none" w:sz="0" w:space="0" w:color="auto"/>
      </w:divBdr>
      <w:divsChild>
        <w:div w:id="1995991332">
          <w:marLeft w:val="0"/>
          <w:marRight w:val="0"/>
          <w:marTop w:val="0"/>
          <w:marBottom w:val="0"/>
          <w:divBdr>
            <w:top w:val="none" w:sz="0" w:space="0" w:color="auto"/>
            <w:left w:val="none" w:sz="0" w:space="0" w:color="auto"/>
            <w:bottom w:val="none" w:sz="0" w:space="0" w:color="auto"/>
            <w:right w:val="none" w:sz="0" w:space="0" w:color="auto"/>
          </w:divBdr>
        </w:div>
      </w:divsChild>
    </w:div>
    <w:div w:id="622657808">
      <w:bodyDiv w:val="1"/>
      <w:marLeft w:val="0"/>
      <w:marRight w:val="0"/>
      <w:marTop w:val="0"/>
      <w:marBottom w:val="0"/>
      <w:divBdr>
        <w:top w:val="none" w:sz="0" w:space="0" w:color="auto"/>
        <w:left w:val="none" w:sz="0" w:space="0" w:color="auto"/>
        <w:bottom w:val="none" w:sz="0" w:space="0" w:color="auto"/>
        <w:right w:val="none" w:sz="0" w:space="0" w:color="auto"/>
      </w:divBdr>
    </w:div>
    <w:div w:id="736055030">
      <w:bodyDiv w:val="1"/>
      <w:marLeft w:val="0"/>
      <w:marRight w:val="0"/>
      <w:marTop w:val="0"/>
      <w:marBottom w:val="0"/>
      <w:divBdr>
        <w:top w:val="none" w:sz="0" w:space="0" w:color="auto"/>
        <w:left w:val="none" w:sz="0" w:space="0" w:color="auto"/>
        <w:bottom w:val="none" w:sz="0" w:space="0" w:color="auto"/>
        <w:right w:val="none" w:sz="0" w:space="0" w:color="auto"/>
      </w:divBdr>
    </w:div>
    <w:div w:id="947083744">
      <w:bodyDiv w:val="1"/>
      <w:marLeft w:val="0"/>
      <w:marRight w:val="0"/>
      <w:marTop w:val="0"/>
      <w:marBottom w:val="0"/>
      <w:divBdr>
        <w:top w:val="none" w:sz="0" w:space="0" w:color="auto"/>
        <w:left w:val="none" w:sz="0" w:space="0" w:color="auto"/>
        <w:bottom w:val="none" w:sz="0" w:space="0" w:color="auto"/>
        <w:right w:val="none" w:sz="0" w:space="0" w:color="auto"/>
      </w:divBdr>
    </w:div>
    <w:div w:id="1232497417">
      <w:bodyDiv w:val="1"/>
      <w:marLeft w:val="0"/>
      <w:marRight w:val="0"/>
      <w:marTop w:val="0"/>
      <w:marBottom w:val="0"/>
      <w:divBdr>
        <w:top w:val="none" w:sz="0" w:space="0" w:color="auto"/>
        <w:left w:val="none" w:sz="0" w:space="0" w:color="auto"/>
        <w:bottom w:val="none" w:sz="0" w:space="0" w:color="auto"/>
        <w:right w:val="none" w:sz="0" w:space="0" w:color="auto"/>
      </w:divBdr>
    </w:div>
    <w:div w:id="1258709577">
      <w:bodyDiv w:val="1"/>
      <w:marLeft w:val="0"/>
      <w:marRight w:val="0"/>
      <w:marTop w:val="0"/>
      <w:marBottom w:val="0"/>
      <w:divBdr>
        <w:top w:val="none" w:sz="0" w:space="0" w:color="auto"/>
        <w:left w:val="none" w:sz="0" w:space="0" w:color="auto"/>
        <w:bottom w:val="none" w:sz="0" w:space="0" w:color="auto"/>
        <w:right w:val="none" w:sz="0" w:space="0" w:color="auto"/>
      </w:divBdr>
    </w:div>
    <w:div w:id="1461656220">
      <w:bodyDiv w:val="1"/>
      <w:marLeft w:val="0"/>
      <w:marRight w:val="0"/>
      <w:marTop w:val="0"/>
      <w:marBottom w:val="0"/>
      <w:divBdr>
        <w:top w:val="none" w:sz="0" w:space="0" w:color="auto"/>
        <w:left w:val="none" w:sz="0" w:space="0" w:color="auto"/>
        <w:bottom w:val="none" w:sz="0" w:space="0" w:color="auto"/>
        <w:right w:val="none" w:sz="0" w:space="0" w:color="auto"/>
      </w:divBdr>
      <w:divsChild>
        <w:div w:id="1211452183">
          <w:marLeft w:val="0"/>
          <w:marRight w:val="0"/>
          <w:marTop w:val="0"/>
          <w:marBottom w:val="0"/>
          <w:divBdr>
            <w:top w:val="none" w:sz="0" w:space="0" w:color="auto"/>
            <w:left w:val="none" w:sz="0" w:space="0" w:color="auto"/>
            <w:bottom w:val="none" w:sz="0" w:space="0" w:color="auto"/>
            <w:right w:val="none" w:sz="0" w:space="0" w:color="auto"/>
          </w:divBdr>
        </w:div>
      </w:divsChild>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02108590">
      <w:bodyDiv w:val="1"/>
      <w:marLeft w:val="0"/>
      <w:marRight w:val="0"/>
      <w:marTop w:val="0"/>
      <w:marBottom w:val="0"/>
      <w:divBdr>
        <w:top w:val="none" w:sz="0" w:space="0" w:color="auto"/>
        <w:left w:val="none" w:sz="0" w:space="0" w:color="auto"/>
        <w:bottom w:val="none" w:sz="0" w:space="0" w:color="auto"/>
        <w:right w:val="none" w:sz="0" w:space="0" w:color="auto"/>
      </w:divBdr>
    </w:div>
    <w:div w:id="1613437281">
      <w:bodyDiv w:val="1"/>
      <w:marLeft w:val="0"/>
      <w:marRight w:val="0"/>
      <w:marTop w:val="0"/>
      <w:marBottom w:val="0"/>
      <w:divBdr>
        <w:top w:val="none" w:sz="0" w:space="0" w:color="auto"/>
        <w:left w:val="none" w:sz="0" w:space="0" w:color="auto"/>
        <w:bottom w:val="none" w:sz="0" w:space="0" w:color="auto"/>
        <w:right w:val="none" w:sz="0" w:space="0" w:color="auto"/>
      </w:divBdr>
    </w:div>
    <w:div w:id="1639341785">
      <w:bodyDiv w:val="1"/>
      <w:marLeft w:val="0"/>
      <w:marRight w:val="0"/>
      <w:marTop w:val="0"/>
      <w:marBottom w:val="0"/>
      <w:divBdr>
        <w:top w:val="none" w:sz="0" w:space="0" w:color="auto"/>
        <w:left w:val="none" w:sz="0" w:space="0" w:color="auto"/>
        <w:bottom w:val="none" w:sz="0" w:space="0" w:color="auto"/>
        <w:right w:val="none" w:sz="0" w:space="0" w:color="auto"/>
      </w:divBdr>
    </w:div>
    <w:div w:id="1643119252">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22621807">
      <w:bodyDiv w:val="1"/>
      <w:marLeft w:val="0"/>
      <w:marRight w:val="0"/>
      <w:marTop w:val="0"/>
      <w:marBottom w:val="0"/>
      <w:divBdr>
        <w:top w:val="none" w:sz="0" w:space="0" w:color="auto"/>
        <w:left w:val="none" w:sz="0" w:space="0" w:color="auto"/>
        <w:bottom w:val="none" w:sz="0" w:space="0" w:color="auto"/>
        <w:right w:val="none" w:sz="0" w:space="0" w:color="auto"/>
      </w:divBdr>
    </w:div>
    <w:div w:id="1960454786">
      <w:bodyDiv w:val="1"/>
      <w:marLeft w:val="0"/>
      <w:marRight w:val="0"/>
      <w:marTop w:val="0"/>
      <w:marBottom w:val="0"/>
      <w:divBdr>
        <w:top w:val="none" w:sz="0" w:space="0" w:color="auto"/>
        <w:left w:val="none" w:sz="0" w:space="0" w:color="auto"/>
        <w:bottom w:val="none" w:sz="0" w:space="0" w:color="auto"/>
        <w:right w:val="none" w:sz="0" w:space="0" w:color="auto"/>
      </w:divBdr>
    </w:div>
    <w:div w:id="21003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608e1829e17849f0"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A5257271</value>
    </field>
    <field name="Objective-Title">
      <value order="0">Scrum Master RD_Clerk Grade 9-10</value>
    </field>
    <field name="Objective-Description">
      <value order="0"/>
    </field>
    <field name="Objective-CreationStamp">
      <value order="0">2021-07-05T01:02:29Z</value>
    </field>
    <field name="Objective-IsApproved">
      <value order="0">false</value>
    </field>
    <field name="Objective-IsPublished">
      <value order="0">true</value>
    </field>
    <field name="Objective-DatePublished">
      <value order="0">2021-07-05T01:37:03Z</value>
    </field>
    <field name="Objective-ModificationStamp">
      <value order="0">2021-07-05T01:37:04Z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vA9006392</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34</TotalTime>
  <Pages>8</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5</cp:revision>
  <dcterms:created xsi:type="dcterms:W3CDTF">2021-07-05T02:02:00Z</dcterms:created>
  <dcterms:modified xsi:type="dcterms:W3CDTF">2021-07-05T02:35:00Z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A5257271</vt:lpwstr>
  </property>
  <property fmtid="{D5CDD505-2E9C-101B-9397-08002B2CF9AE}" pid="4" name="Objective-Title">
    <vt:lpwstr>Scrum Master RD_Clerk Grade 9-10</vt:lpwstr>
  </property>
  <property fmtid="{D5CDD505-2E9C-101B-9397-08002B2CF9AE}" pid="5" name="Objective-Description">
    <vt:lpwstr/>
  </property>
  <property fmtid="{D5CDD505-2E9C-101B-9397-08002B2CF9AE}" pid="6" name="Objective-CreationStamp">
    <vt:filetime>2021-07-05T01:02:29Z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2021-07-05T01:37:03Z</vt:filetime>
  </property>
  <property fmtid="{D5CDD505-2E9C-101B-9397-08002B2CF9AE}" pid="10" name="Objective-ModificationStamp">
    <vt:filetime>2021-07-05T01:37:04Z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vA9006392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