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3F44CD"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3F44CD" w:rsidRPr="00FC13A3" w:rsidRDefault="003F44CD" w:rsidP="00C60D72">
            <w:pPr>
              <w:pStyle w:val="TableTextWhite"/>
              <w:rPr>
                <w:b/>
              </w:rPr>
            </w:pPr>
            <w:r>
              <w:rPr>
                <w:b/>
              </w:rPr>
              <w:t>Senior Executive Work Level Standards</w:t>
            </w:r>
          </w:p>
        </w:tc>
        <w:tc>
          <w:tcPr>
            <w:tcW w:w="6831" w:type="dxa"/>
          </w:tcPr>
          <w:p w:rsidR="003F44CD" w:rsidRDefault="003F44CD"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2</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3F44CD"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3F44CD"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29 June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Chief Operating Officer Agency leads, directs and coordinates the internal operational activities within the Agency in accord with policies, goals and objectives set by the Agency Head/Secretary, and supports the Agency Head/Secretary in development of organisational policies and goals including operations, workforce management, financial performance and organisational arrangements.</w:t>
      </w:r>
    </w:p>
    <w:p w:rsidR="003927AE" w:rsidRPr="00172DFE" w:rsidRDefault="003927AE" w:rsidP="00172DFE">
      <w:pPr>
        <w:tabs>
          <w:tab w:val="left" w:pos="2925"/>
        </w:tabs>
        <w:rPr>
          <w:rStyle w:val="Heading1Char"/>
        </w:rPr>
      </w:pPr>
      <w:r w:rsidRPr="00172DFE">
        <w:rPr>
          <w:rStyle w:val="Heading1Char"/>
        </w:rPr>
        <w:t>Key accountabilities</w:t>
      </w:r>
    </w:p>
    <w:p w:rsidR="004F3F7E" w:rsidRPr="004F3F7E" w:rsidRDefault="007E77DC" w:rsidP="004F3F7E">
      <w:pPr>
        <w:pStyle w:val="ListParagraph"/>
        <w:numPr>
          <w:ilvl w:val="0"/>
          <w:numId w:val="10"/>
        </w:numPr>
        <w:tabs>
          <w:tab w:val="left" w:pos="2925"/>
        </w:tabs>
        <w:rPr>
          <w:rFonts w:cs="Arial"/>
        </w:rPr>
      </w:pPr>
      <w:r>
        <w:t>Develop and prepare short and long</w:t>
      </w:r>
      <w:r w:rsidR="004F3F7E">
        <w:t>-</w:t>
      </w:r>
      <w:r>
        <w:t>term plans and budgets based upon broad Agency goals and objectives</w:t>
      </w:r>
    </w:p>
    <w:p w:rsidR="004F3F7E" w:rsidRPr="004F3F7E" w:rsidRDefault="007E77DC" w:rsidP="004F3F7E">
      <w:pPr>
        <w:pStyle w:val="ListParagraph"/>
        <w:numPr>
          <w:ilvl w:val="0"/>
          <w:numId w:val="10"/>
        </w:numPr>
        <w:tabs>
          <w:tab w:val="left" w:pos="2925"/>
        </w:tabs>
        <w:rPr>
          <w:rFonts w:cs="Arial"/>
        </w:rPr>
      </w:pPr>
      <w:r>
        <w:t>Develop and establish operating policies consistent with the Agency Head/Secretary's broad policies and objectives and facilitate their satisfactory execution</w:t>
      </w:r>
    </w:p>
    <w:p w:rsidR="004F3F7E" w:rsidRPr="004F3F7E" w:rsidRDefault="007E77DC" w:rsidP="004F3F7E">
      <w:pPr>
        <w:pStyle w:val="ListParagraph"/>
        <w:numPr>
          <w:ilvl w:val="0"/>
          <w:numId w:val="10"/>
        </w:numPr>
        <w:tabs>
          <w:tab w:val="left" w:pos="2925"/>
        </w:tabs>
        <w:rPr>
          <w:rFonts w:cs="Arial"/>
        </w:rPr>
      </w:pPr>
      <w:r>
        <w:t>Direct the development and implementation of procedures and controls, decision making protocols and governance frameworks and processes across the Agency</w:t>
      </w:r>
    </w:p>
    <w:p w:rsidR="004F3F7E" w:rsidRPr="004F3F7E" w:rsidRDefault="007E77DC" w:rsidP="004F3F7E">
      <w:pPr>
        <w:pStyle w:val="ListParagraph"/>
        <w:numPr>
          <w:ilvl w:val="0"/>
          <w:numId w:val="10"/>
        </w:numPr>
        <w:tabs>
          <w:tab w:val="left" w:pos="2925"/>
        </w:tabs>
        <w:rPr>
          <w:rFonts w:cs="Arial"/>
        </w:rPr>
      </w:pPr>
      <w:r>
        <w:t>Drive overall performance of the Agency by implementing agreed performance goals, standards, and measures at a whole of program and whole of service level to form the basis for evaluation of effectiveness</w:t>
      </w:r>
    </w:p>
    <w:p w:rsidR="004F3F7E" w:rsidRPr="004F3F7E" w:rsidRDefault="007E77DC" w:rsidP="004F3F7E">
      <w:pPr>
        <w:pStyle w:val="ListParagraph"/>
        <w:numPr>
          <w:ilvl w:val="0"/>
          <w:numId w:val="10"/>
        </w:numPr>
        <w:tabs>
          <w:tab w:val="left" w:pos="2925"/>
        </w:tabs>
        <w:rPr>
          <w:rFonts w:cs="Arial"/>
        </w:rPr>
      </w:pPr>
      <w:r>
        <w:t>Lead the investigation and identification of opportunities for changes and enhancements in delivery of internal functions, existing operational programs and services, or development of additional services, to achieve continuous improvement in outcomes for customers and stakeholders</w:t>
      </w:r>
    </w:p>
    <w:p w:rsidR="003927AE" w:rsidRPr="004F3F7E" w:rsidRDefault="007E77DC" w:rsidP="004F3F7E">
      <w:pPr>
        <w:pStyle w:val="ListParagraph"/>
        <w:numPr>
          <w:ilvl w:val="0"/>
          <w:numId w:val="10"/>
        </w:numPr>
        <w:tabs>
          <w:tab w:val="left" w:pos="2925"/>
        </w:tabs>
        <w:rPr>
          <w:rFonts w:cs="Arial"/>
        </w:rPr>
      </w:pPr>
      <w:r>
        <w:t>Act as the primary escalation point for urgent, complex or highly sensitive operational issues, determining appropriate responses and the need for further escalation to the Agency Head/Secretary</w:t>
      </w:r>
    </w:p>
    <w:p w:rsidR="003927AE" w:rsidRPr="00614552" w:rsidRDefault="003927AE" w:rsidP="003927AE">
      <w:pPr>
        <w:tabs>
          <w:tab w:val="left" w:pos="2925"/>
        </w:tabs>
        <w:rPr>
          <w:rStyle w:val="Heading1Char"/>
        </w:rPr>
      </w:pPr>
      <w:r w:rsidRPr="00614552">
        <w:rPr>
          <w:rStyle w:val="Heading1Char"/>
        </w:rPr>
        <w:t>Key challenges</w:t>
      </w:r>
    </w:p>
    <w:p w:rsidR="004F3F7E" w:rsidRPr="004F3F7E" w:rsidRDefault="007E77DC" w:rsidP="004F3F7E">
      <w:pPr>
        <w:pStyle w:val="ListParagraph"/>
        <w:numPr>
          <w:ilvl w:val="0"/>
          <w:numId w:val="11"/>
        </w:numPr>
        <w:tabs>
          <w:tab w:val="left" w:pos="2925"/>
        </w:tabs>
        <w:rPr>
          <w:rFonts w:ascii="Georgia" w:hAnsi="Georgia"/>
        </w:rPr>
      </w:pPr>
      <w:r>
        <w:t>Achieving a culture which embraces change and innovation, continuous development and improvement to service offerings while maintaining commitment to high levels of efficiency</w:t>
      </w:r>
    </w:p>
    <w:p w:rsidR="003927AE" w:rsidRPr="004F3F7E" w:rsidRDefault="007E77DC" w:rsidP="004F3F7E">
      <w:pPr>
        <w:pStyle w:val="ListParagraph"/>
        <w:numPr>
          <w:ilvl w:val="0"/>
          <w:numId w:val="11"/>
        </w:numPr>
        <w:tabs>
          <w:tab w:val="left" w:pos="2925"/>
        </w:tabs>
        <w:rPr>
          <w:rFonts w:ascii="Georgia" w:hAnsi="Georgia"/>
        </w:rPr>
      </w:pPr>
      <w:r>
        <w:t>Ensuring that issues identified through the implementation of programs and services are effectively communicated back into the policy and program development functions</w:t>
      </w:r>
    </w:p>
    <w:p w:rsidR="004F3F7E" w:rsidRDefault="004F3F7E" w:rsidP="003927AE">
      <w:pPr>
        <w:tabs>
          <w:tab w:val="left" w:pos="2925"/>
        </w:tabs>
        <w:spacing w:line="240" w:lineRule="auto"/>
        <w:rPr>
          <w:rStyle w:val="Heading1Char"/>
        </w:rPr>
      </w:pPr>
      <w:r>
        <w:rPr>
          <w:rStyle w:val="Heading1Char"/>
        </w:rPr>
        <w:br w:type="page"/>
      </w: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4F3F7E" w:rsidRDefault="003927AE" w:rsidP="003927AE">
            <w:pPr>
              <w:pStyle w:val="TableText"/>
              <w:numPr>
                <w:ilvl w:val="0"/>
                <w:numId w:val="3"/>
              </w:numPr>
            </w:pPr>
            <w:r>
              <w:t>Collaborate to develop budgets and resource plans consistent with strategic plans and goals</w:t>
            </w:r>
          </w:p>
          <w:p w:rsidR="004F3F7E" w:rsidRDefault="003927AE" w:rsidP="003927AE">
            <w:pPr>
              <w:pStyle w:val="TableText"/>
              <w:numPr>
                <w:ilvl w:val="0"/>
                <w:numId w:val="3"/>
              </w:numPr>
            </w:pPr>
            <w:r>
              <w:t>Alert related to operational or service issues which may escalate, or which may have broader Service-wide or State-wide impact</w:t>
            </w:r>
          </w:p>
          <w:p w:rsidR="004F3F7E" w:rsidRDefault="003927AE" w:rsidP="003927AE">
            <w:pPr>
              <w:pStyle w:val="TableText"/>
              <w:numPr>
                <w:ilvl w:val="0"/>
                <w:numId w:val="3"/>
              </w:numPr>
            </w:pPr>
            <w:r>
              <w:t>Communicate information related to performance against budget and potential variations which may have impact on budgeting or budget performance at the cluster level</w:t>
            </w:r>
          </w:p>
          <w:p w:rsidR="003927AE" w:rsidRPr="00A15CDB" w:rsidRDefault="003927AE" w:rsidP="003927AE">
            <w:pPr>
              <w:pStyle w:val="TableText"/>
              <w:numPr>
                <w:ilvl w:val="0"/>
                <w:numId w:val="3"/>
              </w:numPr>
            </w:pPr>
            <w:r>
              <w:t>Achieve endorsement of strategic and corporate plans and goals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Contribute to executive decision</w:t>
            </w:r>
            <w:r w:rsidR="004F3F7E">
              <w:t>-</w:t>
            </w:r>
            <w:r>
              <w:t>making processes and implementation of appropriate governance frameworks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4F3F7E"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requirements and manage individual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 xml:space="preserve">Other NSW Government Agencies and </w:t>
            </w:r>
            <w:r w:rsidR="004F3F7E">
              <w:t>S</w:t>
            </w:r>
            <w:r>
              <w:t>takeholders</w:t>
            </w:r>
          </w:p>
        </w:tc>
        <w:tc>
          <w:tcPr>
            <w:tcW w:w="7256" w:type="dxa"/>
            <w:tcBorders>
              <w:top w:val="single" w:sz="8" w:space="0" w:color="auto"/>
              <w:bottom w:val="single" w:sz="8" w:space="0" w:color="BCBEC0"/>
            </w:tcBorders>
          </w:tcPr>
          <w:p w:rsidR="004F3F7E" w:rsidRDefault="003927AE" w:rsidP="003927AE">
            <w:pPr>
              <w:pStyle w:val="TableText"/>
              <w:numPr>
                <w:ilvl w:val="0"/>
                <w:numId w:val="3"/>
              </w:numPr>
            </w:pPr>
            <w:r>
              <w:t>Maintain effective, collaborative relationships and partnerships with other NSW Government stakeholders outside of the Agency and Cluster</w:t>
            </w:r>
          </w:p>
          <w:p w:rsidR="003927AE" w:rsidRPr="00A15CDB" w:rsidRDefault="003927AE" w:rsidP="003927AE">
            <w:pPr>
              <w:pStyle w:val="TableText"/>
              <w:numPr>
                <w:ilvl w:val="0"/>
                <w:numId w:val="3"/>
              </w:numPr>
            </w:pPr>
            <w:r>
              <w:t>Establish effective networks with other Senior Executives and with similar roles across other jurisdictions, to enable performance benchmarking, monitor industry trends, maintain currency, and collaborate on common responses to emerging and future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 xml:space="preserve">Broader </w:t>
            </w:r>
            <w:r w:rsidR="004F3F7E">
              <w:t>G</w:t>
            </w:r>
            <w:r>
              <w:t xml:space="preserve">overnment </w:t>
            </w:r>
            <w:r w:rsidR="004F3F7E">
              <w:t>S</w:t>
            </w:r>
            <w:r>
              <w:t>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Exchange market intelligence, performance benchmarking information, innovations, and other matters of mutual interest to evaluate and enhance the effectiveness and quality of programs and services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4F3F7E"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4F3F7E"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4F3F7E"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4F3F7E" w:rsidP="003927AE">
      <w:pPr>
        <w:rPr>
          <w:rFonts w:cs="Arial"/>
          <w:szCs w:val="26"/>
        </w:rPr>
      </w:pPr>
      <w:r>
        <w:rPr>
          <w:rFonts w:cs="Arial"/>
          <w:szCs w:val="26"/>
        </w:rPr>
        <w:t>NA</w:t>
      </w:r>
    </w:p>
    <w:p w:rsidR="004F3F7E" w:rsidRDefault="004F3F7E" w:rsidP="003927AE">
      <w:pPr>
        <w:pStyle w:val="Heading1"/>
      </w:pPr>
      <w:r>
        <w:br w:type="page"/>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4F3F7E" w:rsidRDefault="004F3F7E">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F3F7E" w:rsidRPr="00803E47" w:rsidTr="00BB0E9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4F3F7E" w:rsidRPr="00803E47" w:rsidRDefault="004F3F7E" w:rsidP="00BB0E9D">
            <w:pPr>
              <w:pStyle w:val="TableTextWhite0"/>
              <w:keepNext/>
              <w:jc w:val="both"/>
            </w:pPr>
            <w:r w:rsidRPr="00051E80">
              <w:rPr>
                <w:sz w:val="24"/>
                <w:szCs w:val="24"/>
              </w:rPr>
              <w:lastRenderedPageBreak/>
              <w:t>FOCUS CAPABILITIES</w:t>
            </w:r>
          </w:p>
        </w:tc>
      </w:tr>
      <w:tr w:rsidR="004F3F7E" w:rsidRPr="00C978B9" w:rsidTr="00BB0E9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4F3F7E" w:rsidRPr="00C978B9" w:rsidRDefault="004F3F7E" w:rsidP="00BB0E9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4F3F7E" w:rsidRPr="00C978B9" w:rsidRDefault="004F3F7E" w:rsidP="00BB0E9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4F3F7E" w:rsidRDefault="004F3F7E" w:rsidP="00BB0E9D">
            <w:pPr>
              <w:pStyle w:val="TableText"/>
              <w:keepNext/>
              <w:rPr>
                <w:b/>
              </w:rPr>
            </w:pPr>
          </w:p>
        </w:tc>
        <w:tc>
          <w:tcPr>
            <w:tcW w:w="4770" w:type="dxa"/>
            <w:tcBorders>
              <w:bottom w:val="single" w:sz="12" w:space="0" w:color="auto"/>
            </w:tcBorders>
            <w:shd w:val="clear" w:color="auto" w:fill="BCBEC0"/>
          </w:tcPr>
          <w:p w:rsidR="004F3F7E" w:rsidRDefault="004F3F7E" w:rsidP="00BB0E9D">
            <w:pPr>
              <w:pStyle w:val="TableText"/>
              <w:keepNext/>
              <w:rPr>
                <w:b/>
              </w:rPr>
            </w:pPr>
            <w:r>
              <w:rPr>
                <w:b/>
              </w:rPr>
              <w:t>Behavioural indicators</w:t>
            </w:r>
          </w:p>
        </w:tc>
        <w:tc>
          <w:tcPr>
            <w:tcW w:w="1606" w:type="dxa"/>
            <w:tcBorders>
              <w:bottom w:val="single" w:sz="12" w:space="0" w:color="auto"/>
            </w:tcBorders>
            <w:shd w:val="clear" w:color="auto" w:fill="BCBEC0"/>
          </w:tcPr>
          <w:p w:rsidR="004F3F7E" w:rsidRDefault="004F3F7E" w:rsidP="00BB0E9D">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rsidR="002D336D" w:rsidRDefault="002D336D" w:rsidP="002D336D">
            <w:pPr>
              <w:pStyle w:val="TableBullet"/>
            </w:pPr>
            <w:r>
              <w:t>Promote a customer-focused culture in the organisation and consider new ways of working to improve customer experience</w:t>
            </w:r>
          </w:p>
          <w:p w:rsidR="002D336D" w:rsidRDefault="002D336D" w:rsidP="002D336D">
            <w:pPr>
              <w:pStyle w:val="TableBullet"/>
            </w:pPr>
            <w:r>
              <w:t>Ensure systems are in place to capture customer service insights to improve services</w:t>
            </w:r>
          </w:p>
          <w:p w:rsidR="002D336D" w:rsidRDefault="002D336D" w:rsidP="002D336D">
            <w:pPr>
              <w:pStyle w:val="TableBullet"/>
            </w:pPr>
            <w:r>
              <w:t>Initiate and develop partnerships with customers to define and evaluate service performance outcomes</w:t>
            </w:r>
          </w:p>
          <w:p w:rsidR="002D336D" w:rsidRDefault="002D336D" w:rsidP="002D336D">
            <w:pPr>
              <w:pStyle w:val="TableBullet"/>
            </w:pPr>
            <w:r>
              <w:t>Promote and manage alliances within the organisation and across the public, private and community sectors</w:t>
            </w:r>
          </w:p>
          <w:p w:rsidR="002D336D" w:rsidRDefault="002D336D" w:rsidP="002D336D">
            <w:pPr>
              <w:pStyle w:val="TableBullet"/>
            </w:pPr>
            <w:r>
              <w:t>Liaise with senior stakeholders on key issues and provide expert and influential advice</w:t>
            </w:r>
          </w:p>
          <w:p w:rsidR="002D336D" w:rsidRDefault="002D336D" w:rsidP="002D336D">
            <w:pPr>
              <w:pStyle w:val="TableBullet"/>
            </w:pPr>
            <w:r>
              <w:t>Identify and incorporate the interests and needs of customers in business process design and encourage new ideas and innovative approaches</w:t>
            </w:r>
          </w:p>
          <w:p w:rsidR="002D336D" w:rsidRDefault="002D336D" w:rsidP="002D336D">
            <w:pPr>
              <w:pStyle w:val="TableBullet"/>
            </w:pPr>
            <w:r>
              <w:t>Ensure that the organisation’s systems, processes, policies and programs respond to customer needs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Use own professional knowledge and the expertise of others to drive forward organisational and government objectives</w:t>
            </w:r>
          </w:p>
          <w:p w:rsidR="002D336D" w:rsidRPr="00AA57E3" w:rsidRDefault="002D336D" w:rsidP="002D336D">
            <w:pPr>
              <w:pStyle w:val="TableBullet"/>
            </w:pPr>
            <w:r>
              <w:t>Create a culture of achievement, fostering on-time and on-budget quality outcomes in the organisation</w:t>
            </w:r>
          </w:p>
          <w:p w:rsidR="002D336D" w:rsidRPr="00AA57E3" w:rsidRDefault="002D336D" w:rsidP="002D336D">
            <w:pPr>
              <w:pStyle w:val="TableBullet"/>
            </w:pPr>
            <w:r>
              <w:t>Identify, recognise and celebrate success</w:t>
            </w:r>
          </w:p>
          <w:p w:rsidR="002D336D" w:rsidRPr="00AA57E3" w:rsidRDefault="002D336D" w:rsidP="002D336D">
            <w:pPr>
              <w:pStyle w:val="TableBullet"/>
            </w:pPr>
            <w:r>
              <w:t>Establish systems to ensure all staff are able to identify direct connections between their efforts and organisational outcomes</w:t>
            </w:r>
          </w:p>
          <w:p w:rsidR="002D336D" w:rsidRPr="00AA57E3" w:rsidRDefault="002D336D" w:rsidP="002D336D">
            <w:pPr>
              <w:pStyle w:val="TableBullet"/>
            </w:pPr>
            <w:r>
              <w:t>Identify and remove potential barriers or hurdles to achieving outcomes</w:t>
            </w:r>
          </w:p>
          <w:p w:rsidR="002D336D" w:rsidRPr="00AA57E3" w:rsidRDefault="002D336D" w:rsidP="002D336D">
            <w:pPr>
              <w:pStyle w:val="TableBullet"/>
            </w:pPr>
            <w:r>
              <w:t>Initiate and communicate high-level priorities for the organisation to achieve government outcomes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Direct the development of effective systems for establishing and measuring accountabilities and evaluate ongoing effectiveness</w:t>
            </w:r>
          </w:p>
          <w:p w:rsidR="002D336D" w:rsidRDefault="002D336D" w:rsidP="002D336D">
            <w:pPr>
              <w:pStyle w:val="TableBullet"/>
            </w:pPr>
            <w:r>
              <w:t>Promote a culture of accountability with clear links to government goals</w:t>
            </w:r>
          </w:p>
          <w:p w:rsidR="002D336D" w:rsidRDefault="002D336D" w:rsidP="002D336D">
            <w:pPr>
              <w:pStyle w:val="TableBullet"/>
            </w:pPr>
            <w:r>
              <w:t>Set standards and exercise due diligence to ensure work health and safety risks are addressed</w:t>
            </w:r>
          </w:p>
          <w:p w:rsidR="002D336D" w:rsidRDefault="002D336D" w:rsidP="002D336D">
            <w:pPr>
              <w:pStyle w:val="TableBullet"/>
            </w:pPr>
            <w:r>
              <w:t>Inspire a culture that respects the obligation to manage public monies and other resources responsibly and with the highest standards of probity</w:t>
            </w:r>
          </w:p>
          <w:p w:rsidR="002D336D" w:rsidRDefault="002D336D" w:rsidP="002D336D">
            <w:pPr>
              <w:pStyle w:val="TableBullet"/>
            </w:pPr>
            <w:r>
              <w:t>Ensure that legislative and regulatory frameworks are applied consistently and effectively across the organisation</w:t>
            </w:r>
          </w:p>
          <w:p w:rsidR="002D336D" w:rsidRDefault="002D336D" w:rsidP="002D336D">
            <w:pPr>
              <w:pStyle w:val="TableBullet"/>
            </w:pPr>
            <w:r>
              <w:t>Direct the development of short- and long-term risk management frameworks to ensure government aims and objectives are achieved</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Apply a thorough understanding of recurrent and capital financial terminology, policies and processes to planning, forecasting and budget preparation and management</w:t>
            </w:r>
          </w:p>
          <w:p w:rsidR="002D336D" w:rsidRPr="00AA57E3" w:rsidRDefault="002D336D" w:rsidP="002D336D">
            <w:pPr>
              <w:pStyle w:val="TableBullet"/>
            </w:pPr>
            <w:r>
              <w:t>Identify and analyse trends, review data and evaluate business options to ensure business cases are financially sound</w:t>
            </w:r>
          </w:p>
          <w:p w:rsidR="002D336D" w:rsidRPr="00AA57E3" w:rsidRDefault="002D336D" w:rsidP="002D336D">
            <w:pPr>
              <w:pStyle w:val="TableBullet"/>
            </w:pPr>
            <w:r>
              <w:t>Assess relative cost benefits of various purchasing options</w:t>
            </w:r>
          </w:p>
          <w:p w:rsidR="002D336D" w:rsidRPr="00AA57E3" w:rsidRDefault="002D336D" w:rsidP="002D336D">
            <w:pPr>
              <w:pStyle w:val="TableBullet"/>
            </w:pPr>
            <w:r>
              <w:t>Promote the role of sound financial management and its impact on organisational effectiveness</w:t>
            </w:r>
          </w:p>
          <w:p w:rsidR="002D336D" w:rsidRPr="00AA57E3" w:rsidRDefault="002D336D" w:rsidP="002D336D">
            <w:pPr>
              <w:pStyle w:val="TableBullet"/>
            </w:pPr>
            <w:r>
              <w:t>Obtain specialist financial advice when reviewing and evaluating finance systems and processes</w:t>
            </w:r>
          </w:p>
          <w:p w:rsidR="002D336D" w:rsidRPr="00AA57E3" w:rsidRDefault="002D336D" w:rsidP="002D336D">
            <w:pPr>
              <w:pStyle w:val="TableBullet"/>
            </w:pPr>
            <w:r>
              <w:t>Respond to financial and risk management audit outcomes, addressing areas of non-compliance in a timely manner</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Inspire Direction and Purpose</w:t>
            </w:r>
          </w:p>
          <w:p w:rsidR="002D336D" w:rsidRPr="00AA57E3" w:rsidRDefault="002D336D" w:rsidP="00A72C86">
            <w:pPr>
              <w:pStyle w:val="TableText"/>
              <w:keepNext/>
            </w:pPr>
            <w:r>
              <w:t>Communicate goals, priorities and vision, and recognise achievements</w:t>
            </w:r>
          </w:p>
        </w:tc>
        <w:tc>
          <w:tcPr>
            <w:tcW w:w="4770" w:type="dxa"/>
            <w:tcBorders>
              <w:bottom w:val="single" w:sz="4" w:space="0" w:color="BCBEC0"/>
            </w:tcBorders>
          </w:tcPr>
          <w:p w:rsidR="002D336D" w:rsidRPr="00AA57E3" w:rsidRDefault="002D336D" w:rsidP="002D336D">
            <w:pPr>
              <w:pStyle w:val="TableBullet"/>
            </w:pPr>
            <w:r>
              <w:t>Promote a sense of purpose and enable others to understand the links between government policy, organisational goals and public value</w:t>
            </w:r>
          </w:p>
          <w:p w:rsidR="002D336D" w:rsidRPr="00AA57E3" w:rsidRDefault="002D336D" w:rsidP="002D336D">
            <w:pPr>
              <w:pStyle w:val="TableBullet"/>
            </w:pPr>
            <w:r>
              <w:t>Build a shared sense of direction, clarify priorities and goals, and inspire others to achieve these</w:t>
            </w:r>
          </w:p>
          <w:p w:rsidR="002D336D" w:rsidRPr="00AA57E3" w:rsidRDefault="002D336D" w:rsidP="002D336D">
            <w:pPr>
              <w:pStyle w:val="TableBullet"/>
            </w:pPr>
            <w:r>
              <w:t>Work with others to translate strategic direction into operational goals and build a shared understanding of the link between these and core business outcomes</w:t>
            </w:r>
          </w:p>
          <w:p w:rsidR="002D336D" w:rsidRPr="00AA57E3" w:rsidRDefault="002D336D" w:rsidP="002D336D">
            <w:pPr>
              <w:pStyle w:val="TableBullet"/>
            </w:pPr>
            <w:r>
              <w:t>Create opportunities for recognising and celebrating high performance at the individual and team level</w:t>
            </w:r>
          </w:p>
          <w:p w:rsidR="002D336D" w:rsidRPr="00AA57E3" w:rsidRDefault="002D336D" w:rsidP="002D336D">
            <w:pPr>
              <w:pStyle w:val="TableBullet"/>
            </w:pPr>
            <w:r>
              <w:t>Instil confidence, and cultivate an attitude of openness and curiosity in tackling future challenges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Optimise Business Outcomes</w:t>
            </w:r>
          </w:p>
          <w:p w:rsidR="002D336D" w:rsidRPr="00A8226F" w:rsidRDefault="000411F6" w:rsidP="000411F6">
            <w:pPr>
              <w:pStyle w:val="TableText"/>
              <w:keepNext/>
              <w:rPr>
                <w:b/>
              </w:rPr>
            </w:pPr>
            <w:r>
              <w:t>Manage people and resources effectively to achieve public value</w:t>
            </w:r>
          </w:p>
        </w:tc>
        <w:tc>
          <w:tcPr>
            <w:tcW w:w="4770" w:type="dxa"/>
            <w:tcBorders>
              <w:bottom w:val="single" w:sz="4" w:space="0" w:color="BCBEC0"/>
            </w:tcBorders>
          </w:tcPr>
          <w:p w:rsidR="002D336D" w:rsidRDefault="002D336D" w:rsidP="002D336D">
            <w:pPr>
              <w:pStyle w:val="TableBullet"/>
            </w:pPr>
            <w:r>
              <w:t>Ensure that organisational architecture is aligned to the organisation’s goals and responds to changes over time</w:t>
            </w:r>
          </w:p>
          <w:p w:rsidR="002D336D" w:rsidRDefault="002D336D" w:rsidP="002D336D">
            <w:pPr>
              <w:pStyle w:val="TableBullet"/>
            </w:pPr>
            <w:r>
              <w:t>Engage in strategic workforce planning and strategic resource utilisation to ensure that the organisation’s aims and goals and the government’s objectives can be achieved</w:t>
            </w:r>
          </w:p>
          <w:p w:rsidR="002D336D" w:rsidRDefault="002D336D" w:rsidP="002D336D">
            <w:pPr>
              <w:pStyle w:val="TableBullet"/>
            </w:pPr>
            <w:r>
              <w:t>Align workforce resources and talent with organisational priorities</w:t>
            </w:r>
          </w:p>
          <w:p w:rsidR="002D336D" w:rsidRDefault="002D336D" w:rsidP="002D336D">
            <w:pPr>
              <w:pStyle w:val="TableBullet"/>
            </w:pPr>
            <w:r>
              <w:t>Set clear boundaries and freedoms for the organisation in risk taking</w:t>
            </w:r>
          </w:p>
          <w:p w:rsidR="002D336D" w:rsidRDefault="002D336D" w:rsidP="002D336D">
            <w:pPr>
              <w:pStyle w:val="TableBullet"/>
            </w:pPr>
            <w:r>
              <w:t>Hold self and others accountable for implementing and maintaining inclusive workforce management practices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lastRenderedPageBreak/>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Work Collaboratively</w:t>
            </w:r>
          </w:p>
        </w:tc>
        <w:tc>
          <w:tcPr>
            <w:tcW w:w="4770" w:type="dxa"/>
            <w:tcBorders>
              <w:bottom w:val="single" w:sz="4" w:space="0" w:color="BCBEC0"/>
            </w:tcBorders>
          </w:tcPr>
          <w:p w:rsidR="002B5704" w:rsidRPr="00AA57E3"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987" w:rsidRDefault="00824987" w:rsidP="00BB532F">
      <w:pPr>
        <w:spacing w:after="0" w:line="240" w:lineRule="auto"/>
      </w:pPr>
      <w:r>
        <w:separator/>
      </w:r>
    </w:p>
  </w:endnote>
  <w:endnote w:type="continuationSeparator" w:id="0">
    <w:p w:rsidR="00824987" w:rsidRDefault="0082498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Chief Operating Officer (Agency)</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987" w:rsidRDefault="00824987" w:rsidP="00BB532F">
      <w:pPr>
        <w:spacing w:after="0" w:line="240" w:lineRule="auto"/>
      </w:pPr>
      <w:r>
        <w:separator/>
      </w:r>
    </w:p>
  </w:footnote>
  <w:footnote w:type="continuationSeparator" w:id="0">
    <w:p w:rsidR="00824987" w:rsidRDefault="0082498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Chief Operating Officer (Agency)</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43699"/>
    <w:multiLevelType w:val="hybridMultilevel"/>
    <w:tmpl w:val="7AF20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DD1497"/>
    <w:multiLevelType w:val="hybridMultilevel"/>
    <w:tmpl w:val="1EB66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681C"/>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3F44CD"/>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526D"/>
    <w:rsid w:val="004E7F32"/>
    <w:rsid w:val="004F3F7E"/>
    <w:rsid w:val="00502DBF"/>
    <w:rsid w:val="00506B3A"/>
    <w:rsid w:val="00521D19"/>
    <w:rsid w:val="00523CFF"/>
    <w:rsid w:val="00527FCF"/>
    <w:rsid w:val="005307BA"/>
    <w:rsid w:val="00545AC6"/>
    <w:rsid w:val="00551038"/>
    <w:rsid w:val="00557D2A"/>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4987"/>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4C94"/>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45E15"/>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154F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a55aa08bc4394b2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A4685171</value>
    </field>
    <field name="Objective-Title">
      <value order="0">PSC - Role Description-Chief-Operating-Officer-(Agency) 301020 F</value>
    </field>
    <field name="Objective-Description">
      <value order="0"/>
    </field>
    <field name="Objective-CreationStamp">
      <value order="0">2020-06-29T00:33:22Z</value>
    </field>
    <field name="Objective-IsApproved">
      <value order="0">false</value>
    </field>
    <field name="Objective-IsPublished">
      <value order="0">false</value>
    </field>
    <field name="Objective-DatePublished">
      <value order="0"/>
    </field>
    <field name="Objective-ModificationStamp">
      <value order="0">2020-11-02T00:16:36Z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vA8444094</value>
    </field>
    <field name="Objective-Version">
      <value order="0">2.3</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5DC4ABA-D43F-4D97-B156-878C550F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22</TotalTime>
  <Pages>7</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2020-06-29T01:33:00Z</dcterms:created>
  <dcterms:modified xsi:type="dcterms:W3CDTF">2020-11-02T00:16:00Z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A4685171</vt:lpwstr>
  </property>
  <property fmtid="{D5CDD505-2E9C-101B-9397-08002B2CF9AE}" pid="4" name="Objective-Title">
    <vt:lpwstr>PSC - Role Description-Chief-Operating-Officer-(Agency) 301020 F</vt:lpwstr>
  </property>
  <property fmtid="{D5CDD505-2E9C-101B-9397-08002B2CF9AE}" pid="5" name="Objective-Description">
    <vt:lpwstr/>
  </property>
  <property fmtid="{D5CDD505-2E9C-101B-9397-08002B2CF9AE}" pid="6" name="Objective-CreationStamp">
    <vt:filetime>2020-07-02T03:32:45Z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2020-11-02T00:16:36Z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vA8444094</vt:lpwstr>
  </property>
  <property fmtid="{D5CDD505-2E9C-101B-9397-08002B2CF9AE}" pid="16" name="Objective-Version">
    <vt:lpwstr>2.3</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