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0035401E" w:rsidR="00801E41" w:rsidRDefault="00E63615" w:rsidP="00C60D72">
            <w:pPr>
              <w:pStyle w:val="TableTextWhite"/>
            </w:pPr>
            <w:r>
              <w:t>Clerk Grade 11/12</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3861ACF7" w:rsidR="00DB7774" w:rsidRPr="00E63615" w:rsidRDefault="00E63615" w:rsidP="003927AE">
      <w:pPr>
        <w:tabs>
          <w:tab w:val="left" w:pos="2925"/>
        </w:tabs>
        <w:rPr>
          <w:rStyle w:val="Heading1Char"/>
          <w:b w:val="0"/>
          <w:bCs w:val="0"/>
          <w:sz w:val="22"/>
          <w:szCs w:val="24"/>
        </w:rPr>
      </w:pPr>
      <w:r w:rsidRPr="00E63615">
        <w:rPr>
          <w:rStyle w:val="Heading1Char"/>
          <w:b w:val="0"/>
          <w:bCs w:val="0"/>
          <w:sz w:val="22"/>
          <w:szCs w:val="24"/>
        </w:rPr>
        <w:t>The Manager Service Transition &amp; Change is responsible for establishing and developing policies, processes and procedures to ensure any modification or transitions to the live operational environment, either new, modified, retired or retiring services, meets the agreed expectations of business, customers and users.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1CA7D2B0" w14:textId="77777777" w:rsidR="00E63615" w:rsidRPr="00E63615" w:rsidRDefault="00E63615" w:rsidP="00E63615">
      <w:pPr>
        <w:pStyle w:val="ListParagraph"/>
        <w:numPr>
          <w:ilvl w:val="0"/>
          <w:numId w:val="11"/>
        </w:numPr>
        <w:tabs>
          <w:tab w:val="left" w:pos="2925"/>
        </w:tabs>
        <w:rPr>
          <w:rFonts w:cs="Arial"/>
        </w:rPr>
      </w:pPr>
      <w:r w:rsidRPr="00E63615">
        <w:rPr>
          <w:rFonts w:cs="Arial"/>
        </w:rPr>
        <w:t>Plan and manage the assessment, analysis, development, documentation, implementation and integration of all service changes, evaluate risks to the integrity of the live operating environment and ensure effective control and treatment of the risk to the availability, performance, security and compliance of the business services.</w:t>
      </w:r>
    </w:p>
    <w:p w14:paraId="6D4A7610" w14:textId="5D3AD6EF" w:rsidR="00E63615" w:rsidRPr="00E63615" w:rsidRDefault="00E63615" w:rsidP="00E63615">
      <w:pPr>
        <w:pStyle w:val="ListParagraph"/>
        <w:numPr>
          <w:ilvl w:val="0"/>
          <w:numId w:val="11"/>
        </w:numPr>
        <w:tabs>
          <w:tab w:val="left" w:pos="2925"/>
        </w:tabs>
        <w:rPr>
          <w:rFonts w:cs="Arial"/>
        </w:rPr>
      </w:pPr>
      <w:r w:rsidRPr="00E63615">
        <w:rPr>
          <w:rFonts w:cs="Arial"/>
        </w:rPr>
        <w:t>Plan and deploy transition and change release into supported live environment and review the effectiveness of change implementation and recommend improvements to organisational procedures governing change management.</w:t>
      </w:r>
    </w:p>
    <w:p w14:paraId="5CA032A1" w14:textId="5B796532" w:rsidR="00E63615" w:rsidRPr="00E63615" w:rsidRDefault="00E63615" w:rsidP="00E63615">
      <w:pPr>
        <w:pStyle w:val="ListParagraph"/>
        <w:numPr>
          <w:ilvl w:val="0"/>
          <w:numId w:val="11"/>
        </w:numPr>
        <w:tabs>
          <w:tab w:val="left" w:pos="2925"/>
        </w:tabs>
        <w:rPr>
          <w:rFonts w:cs="Arial"/>
        </w:rPr>
      </w:pPr>
      <w:r w:rsidRPr="00E63615">
        <w:rPr>
          <w:rFonts w:cs="Arial"/>
        </w:rPr>
        <w:t xml:space="preserve">Define, </w:t>
      </w:r>
      <w:proofErr w:type="gramStart"/>
      <w:r w:rsidRPr="00E63615">
        <w:rPr>
          <w:rFonts w:cs="Arial"/>
        </w:rPr>
        <w:t>document</w:t>
      </w:r>
      <w:proofErr w:type="gramEnd"/>
      <w:r w:rsidRPr="00E63615">
        <w:rPr>
          <w:rFonts w:cs="Arial"/>
        </w:rPr>
        <w:t xml:space="preserve"> and agree the scope of service transition and change project plans to ensure operable, supportable and scalable service that meet business needs.</w:t>
      </w:r>
    </w:p>
    <w:p w14:paraId="08C33D35" w14:textId="0B532887" w:rsidR="00E63615" w:rsidRPr="00E63615" w:rsidRDefault="00E63615" w:rsidP="00E63615">
      <w:pPr>
        <w:pStyle w:val="ListParagraph"/>
        <w:numPr>
          <w:ilvl w:val="0"/>
          <w:numId w:val="11"/>
        </w:numPr>
        <w:tabs>
          <w:tab w:val="left" w:pos="2925"/>
        </w:tabs>
        <w:rPr>
          <w:rFonts w:cs="Arial"/>
        </w:rPr>
      </w:pPr>
      <w:r w:rsidRPr="00E63615">
        <w:rPr>
          <w:rFonts w:cs="Arial"/>
        </w:rPr>
        <w:t xml:space="preserve">Facilitate open communication and discussion between stakeholders, acting as a single point of contact by developing, </w:t>
      </w:r>
      <w:proofErr w:type="gramStart"/>
      <w:r w:rsidRPr="00E63615">
        <w:rPr>
          <w:rFonts w:cs="Arial"/>
        </w:rPr>
        <w:t>maintaining</w:t>
      </w:r>
      <w:proofErr w:type="gramEnd"/>
      <w:r w:rsidRPr="00E63615">
        <w:rPr>
          <w:rFonts w:cs="Arial"/>
        </w:rPr>
        <w:t xml:space="preserve"> and working to stakeholder engagement strategies and plans.</w:t>
      </w:r>
    </w:p>
    <w:p w14:paraId="450FD140" w14:textId="10467639" w:rsidR="00E63615" w:rsidRPr="00E63615" w:rsidRDefault="00E63615" w:rsidP="00E63615">
      <w:pPr>
        <w:pStyle w:val="ListParagraph"/>
        <w:numPr>
          <w:ilvl w:val="0"/>
          <w:numId w:val="11"/>
        </w:numPr>
        <w:tabs>
          <w:tab w:val="left" w:pos="2925"/>
        </w:tabs>
        <w:rPr>
          <w:rFonts w:cs="Arial"/>
        </w:rPr>
      </w:pPr>
      <w:r w:rsidRPr="00E63615">
        <w:rPr>
          <w:rFonts w:cs="Arial"/>
        </w:rPr>
        <w:t>Develop an awareness and understanding of practice areas to provide technical knowledge and advice on transition and change services to inform business decision making and ensure that transition and change service meets business benefits realisation and value objectives.</w:t>
      </w:r>
    </w:p>
    <w:p w14:paraId="0ADB6A88" w14:textId="7A321E81" w:rsidR="00E63615" w:rsidRPr="00E63615" w:rsidRDefault="00E63615" w:rsidP="00E63615">
      <w:pPr>
        <w:pStyle w:val="ListParagraph"/>
        <w:numPr>
          <w:ilvl w:val="0"/>
          <w:numId w:val="11"/>
        </w:numPr>
        <w:tabs>
          <w:tab w:val="left" w:pos="2925"/>
        </w:tabs>
        <w:rPr>
          <w:rFonts w:cs="Arial"/>
        </w:rPr>
      </w:pPr>
      <w:r w:rsidRPr="00E63615">
        <w:rPr>
          <w:rFonts w:cs="Arial"/>
        </w:rPr>
        <w:t>Oversee the overall design and ongoing maintenance of all service transition and change processes to ensure that they align with tightly integrated interfaces to meet the overall transition needs of the business.</w:t>
      </w:r>
    </w:p>
    <w:p w14:paraId="1E929490" w14:textId="175964B6" w:rsidR="00E63615" w:rsidRPr="00E63615" w:rsidRDefault="00E63615" w:rsidP="00E63615">
      <w:pPr>
        <w:pStyle w:val="ListParagraph"/>
        <w:numPr>
          <w:ilvl w:val="0"/>
          <w:numId w:val="11"/>
        </w:numPr>
        <w:tabs>
          <w:tab w:val="left" w:pos="2925"/>
        </w:tabs>
        <w:rPr>
          <w:rFonts w:cs="Arial"/>
        </w:rPr>
      </w:pPr>
      <w:r w:rsidRPr="00E63615">
        <w:rPr>
          <w:rFonts w:cs="Arial"/>
        </w:rPr>
        <w:t>Collaborate with geographically dispersed teams and provide support across locations and services.</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5016434C" w14:textId="77777777" w:rsidR="00E63615" w:rsidRPr="00E63615" w:rsidRDefault="00E63615" w:rsidP="00E63615">
      <w:pPr>
        <w:pStyle w:val="ListParagraph"/>
        <w:numPr>
          <w:ilvl w:val="0"/>
          <w:numId w:val="11"/>
        </w:numPr>
        <w:tabs>
          <w:tab w:val="left" w:pos="2925"/>
        </w:tabs>
        <w:rPr>
          <w:rFonts w:cs="Arial"/>
        </w:rPr>
      </w:pPr>
      <w:r w:rsidRPr="00E63615">
        <w:rPr>
          <w:rFonts w:cs="Arial"/>
        </w:rPr>
        <w:t>Developing effective transitional arrangements and change management plans, when the outcome and impacts of transitions may be unknown.</w:t>
      </w:r>
    </w:p>
    <w:p w14:paraId="0120A430" w14:textId="558BBC1B" w:rsidR="00E63615" w:rsidRPr="00E63615" w:rsidRDefault="00E63615" w:rsidP="00E63615">
      <w:pPr>
        <w:pStyle w:val="ListParagraph"/>
        <w:numPr>
          <w:ilvl w:val="0"/>
          <w:numId w:val="11"/>
        </w:numPr>
        <w:tabs>
          <w:tab w:val="left" w:pos="2925"/>
        </w:tabs>
        <w:rPr>
          <w:rFonts w:cs="Arial"/>
        </w:rPr>
      </w:pPr>
      <w:r w:rsidRPr="00E63615">
        <w:rPr>
          <w:rFonts w:cs="Arial"/>
        </w:rPr>
        <w:t>Gaining support for transitional activities where engagement may be of variable levels.</w:t>
      </w:r>
    </w:p>
    <w:p w14:paraId="31C41C46" w14:textId="7FBCCA59" w:rsidR="003927AE" w:rsidRDefault="00E63615" w:rsidP="00E63615">
      <w:pPr>
        <w:pStyle w:val="ListParagraph"/>
        <w:numPr>
          <w:ilvl w:val="0"/>
          <w:numId w:val="11"/>
        </w:numPr>
        <w:tabs>
          <w:tab w:val="left" w:pos="2925"/>
        </w:tabs>
        <w:rPr>
          <w:rFonts w:cs="Arial"/>
        </w:rPr>
      </w:pPr>
      <w:r w:rsidRPr="00E63615">
        <w:rPr>
          <w:rFonts w:cs="Arial"/>
        </w:rPr>
        <w:t>Ensuring processes exist for the sustainability of service provision, often dealing with complex challenges in situations where resolutions must be quickly developed and implemented</w:t>
      </w:r>
      <w:r>
        <w:rPr>
          <w:rFonts w:cs="Arial"/>
        </w:rPr>
        <w:t>.</w:t>
      </w:r>
    </w:p>
    <w:p w14:paraId="08ABA8E1" w14:textId="77777777" w:rsidR="00E63615" w:rsidRPr="00E63615" w:rsidRDefault="00E63615" w:rsidP="00E63615">
      <w:pPr>
        <w:pStyle w:val="ListParagraph"/>
        <w:tabs>
          <w:tab w:val="left" w:pos="2925"/>
        </w:tabs>
        <w:rPr>
          <w:rFonts w:cs="Arial"/>
        </w:rPr>
      </w:pP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E63615" w:rsidRDefault="003927AE" w:rsidP="00A72C86">
            <w:pPr>
              <w:pStyle w:val="TableText"/>
            </w:pPr>
            <w:r w:rsidRPr="00E63615">
              <w:t>Manager</w:t>
            </w:r>
          </w:p>
        </w:tc>
        <w:tc>
          <w:tcPr>
            <w:tcW w:w="7256" w:type="dxa"/>
            <w:tcBorders>
              <w:top w:val="single" w:sz="8" w:space="0" w:color="auto"/>
              <w:bottom w:val="single" w:sz="8" w:space="0" w:color="BCBEC0"/>
            </w:tcBorders>
          </w:tcPr>
          <w:p w14:paraId="7664B95A" w14:textId="77777777" w:rsidR="00E63615" w:rsidRDefault="00E63615" w:rsidP="00E63615">
            <w:pPr>
              <w:pStyle w:val="TableText"/>
              <w:numPr>
                <w:ilvl w:val="0"/>
                <w:numId w:val="3"/>
              </w:numPr>
            </w:pPr>
            <w:r>
              <w:t xml:space="preserve">Receive leadership, </w:t>
            </w:r>
            <w:proofErr w:type="gramStart"/>
            <w:r>
              <w:t>advice</w:t>
            </w:r>
            <w:proofErr w:type="gramEnd"/>
            <w:r>
              <w:t xml:space="preserve"> and support.</w:t>
            </w:r>
          </w:p>
          <w:p w14:paraId="1127A46A" w14:textId="341F6A7C" w:rsidR="00E63615" w:rsidRDefault="00E63615" w:rsidP="00E63615">
            <w:pPr>
              <w:pStyle w:val="TableText"/>
              <w:numPr>
                <w:ilvl w:val="0"/>
                <w:numId w:val="3"/>
              </w:numPr>
            </w:pPr>
            <w:r>
              <w:t xml:space="preserve">Escalate issues, keep informed, </w:t>
            </w:r>
            <w:proofErr w:type="gramStart"/>
            <w:r>
              <w:t>advise</w:t>
            </w:r>
            <w:proofErr w:type="gramEnd"/>
            <w:r>
              <w:t xml:space="preserve"> and receive instructions.</w:t>
            </w:r>
          </w:p>
          <w:p w14:paraId="2F56547D" w14:textId="54CE5B25" w:rsidR="003927AE" w:rsidRPr="00A15CDB" w:rsidRDefault="00E63615" w:rsidP="00E63615">
            <w:pPr>
              <w:pStyle w:val="TableText"/>
              <w:numPr>
                <w:ilvl w:val="0"/>
                <w:numId w:val="3"/>
              </w:numPr>
            </w:pPr>
            <w:r>
              <w:t>Contribute to the development of sustainable technology solutions.</w:t>
            </w:r>
          </w:p>
        </w:tc>
      </w:tr>
      <w:tr w:rsidR="003927AE" w:rsidRPr="00C978B9" w14:paraId="68D31971" w14:textId="77777777" w:rsidTr="00E55704">
        <w:tc>
          <w:tcPr>
            <w:tcW w:w="3601" w:type="dxa"/>
            <w:tcBorders>
              <w:top w:val="single" w:sz="8" w:space="0" w:color="auto"/>
              <w:bottom w:val="single" w:sz="8" w:space="0" w:color="BCBEC0"/>
            </w:tcBorders>
          </w:tcPr>
          <w:p w14:paraId="3873BE2E" w14:textId="4B327AE9" w:rsidR="003927AE" w:rsidRPr="00E63615" w:rsidRDefault="003927AE" w:rsidP="00A72C86">
            <w:pPr>
              <w:pStyle w:val="TableText"/>
            </w:pPr>
            <w:r w:rsidRPr="00E63615">
              <w:t xml:space="preserve">Work </w:t>
            </w:r>
            <w:r w:rsidR="00E63615" w:rsidRPr="00E63615">
              <w:t>t</w:t>
            </w:r>
            <w:r w:rsidRPr="00E63615">
              <w:t>eam</w:t>
            </w:r>
            <w:r w:rsidR="00E63615" w:rsidRPr="00E63615">
              <w:t xml:space="preserve"> and colleagues</w:t>
            </w:r>
          </w:p>
        </w:tc>
        <w:tc>
          <w:tcPr>
            <w:tcW w:w="7256" w:type="dxa"/>
            <w:tcBorders>
              <w:top w:val="single" w:sz="8" w:space="0" w:color="auto"/>
              <w:bottom w:val="single" w:sz="8" w:space="0" w:color="BCBEC0"/>
            </w:tcBorders>
          </w:tcPr>
          <w:p w14:paraId="0D661E78" w14:textId="77777777" w:rsidR="00E63615" w:rsidRDefault="00E63615" w:rsidP="00E63615">
            <w:pPr>
              <w:pStyle w:val="TableText"/>
              <w:numPr>
                <w:ilvl w:val="0"/>
                <w:numId w:val="3"/>
              </w:numPr>
            </w:pPr>
            <w:r>
              <w:t>Resolve and provide solutions to issues.</w:t>
            </w:r>
          </w:p>
          <w:p w14:paraId="4B53CC58" w14:textId="55D69DBD" w:rsidR="003927AE" w:rsidRPr="00A15CDB" w:rsidRDefault="00E63615" w:rsidP="00E63615">
            <w:pPr>
              <w:pStyle w:val="TableText"/>
              <w:numPr>
                <w:ilvl w:val="0"/>
                <w:numId w:val="3"/>
              </w:numPr>
            </w:pPr>
            <w:r>
              <w:t>Provide consistent and quality technical and/or hardware services advice for business improvement and compliance with rules/standards.</w:t>
            </w:r>
          </w:p>
        </w:tc>
      </w:tr>
      <w:tr w:rsidR="003927AE" w:rsidRPr="00C978B9" w14:paraId="1543FF31" w14:textId="77777777" w:rsidTr="00E55704">
        <w:tc>
          <w:tcPr>
            <w:tcW w:w="3601" w:type="dxa"/>
            <w:tcBorders>
              <w:top w:val="single" w:sz="8" w:space="0" w:color="auto"/>
              <w:bottom w:val="single" w:sz="8" w:space="0" w:color="BCBEC0"/>
            </w:tcBorders>
          </w:tcPr>
          <w:p w14:paraId="0583FD37" w14:textId="1ECE7940" w:rsidR="003927AE" w:rsidRPr="00E63615" w:rsidRDefault="003927AE" w:rsidP="00A72C86">
            <w:pPr>
              <w:pStyle w:val="TableText"/>
            </w:pPr>
          </w:p>
        </w:tc>
        <w:tc>
          <w:tcPr>
            <w:tcW w:w="7256" w:type="dxa"/>
            <w:tcBorders>
              <w:top w:val="single" w:sz="8" w:space="0" w:color="auto"/>
              <w:bottom w:val="single" w:sz="8" w:space="0" w:color="BCBEC0"/>
            </w:tcBorders>
          </w:tcPr>
          <w:p w14:paraId="3395CF71" w14:textId="78E9076A" w:rsidR="003927AE" w:rsidRPr="00A15CDB" w:rsidRDefault="003927AE" w:rsidP="003927AE">
            <w:pPr>
              <w:pStyle w:val="TableText"/>
              <w:numPr>
                <w:ilvl w:val="0"/>
                <w:numId w:val="3"/>
              </w:numPr>
            </w:pPr>
          </w:p>
        </w:tc>
      </w:tr>
      <w:tr w:rsidR="003927AE" w:rsidRPr="00A8245E" w14:paraId="3B55100D" w14:textId="77777777" w:rsidTr="00E55704">
        <w:tc>
          <w:tcPr>
            <w:tcW w:w="3601" w:type="dxa"/>
            <w:shd w:val="clear" w:color="auto" w:fill="BCBEC0"/>
          </w:tcPr>
          <w:p w14:paraId="6CA1A5CF" w14:textId="77777777" w:rsidR="003927AE" w:rsidRPr="00E63615" w:rsidRDefault="003927AE" w:rsidP="00A72C86">
            <w:pPr>
              <w:pStyle w:val="TableText"/>
              <w:keepNext/>
              <w:rPr>
                <w:b/>
              </w:rPr>
            </w:pPr>
            <w:r w:rsidRPr="00E63615">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2AB8551E" w:rsidR="003927AE" w:rsidRPr="00E63615" w:rsidRDefault="00E63615" w:rsidP="00A72C86">
            <w:pPr>
              <w:pStyle w:val="TableText"/>
            </w:pPr>
            <w:r w:rsidRPr="00E63615">
              <w:t>Vendors/Service Providers and Consultants</w:t>
            </w:r>
          </w:p>
        </w:tc>
        <w:tc>
          <w:tcPr>
            <w:tcW w:w="7256" w:type="dxa"/>
            <w:tcBorders>
              <w:top w:val="single" w:sz="8" w:space="0" w:color="auto"/>
              <w:bottom w:val="single" w:sz="8" w:space="0" w:color="BCBEC0"/>
            </w:tcBorders>
          </w:tcPr>
          <w:p w14:paraId="4F1969E4" w14:textId="77777777" w:rsidR="00E63615" w:rsidRDefault="00E63615" w:rsidP="00E63615">
            <w:pPr>
              <w:pStyle w:val="TableText"/>
              <w:numPr>
                <w:ilvl w:val="0"/>
                <w:numId w:val="3"/>
              </w:numPr>
            </w:pPr>
            <w:r>
              <w:t>Manage relationships to obtain maximum support for the transition of services.</w:t>
            </w:r>
          </w:p>
          <w:p w14:paraId="731980DB" w14:textId="2CB19723" w:rsidR="003927AE" w:rsidRPr="00A15CDB" w:rsidRDefault="00E63615" w:rsidP="00E63615">
            <w:pPr>
              <w:pStyle w:val="TableText"/>
              <w:numPr>
                <w:ilvl w:val="0"/>
                <w:numId w:val="3"/>
              </w:numPr>
            </w:pPr>
            <w:r>
              <w:t>Provide and receive technical advice and support in transitional activities.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18B87549" w14:textId="77777777" w:rsidR="00E63615" w:rsidRPr="00E63615" w:rsidRDefault="00E63615" w:rsidP="00E63615">
      <w:pPr>
        <w:pStyle w:val="ListParagraph"/>
        <w:numPr>
          <w:ilvl w:val="0"/>
          <w:numId w:val="11"/>
        </w:numPr>
        <w:tabs>
          <w:tab w:val="left" w:pos="2925"/>
        </w:tabs>
        <w:rPr>
          <w:rFonts w:cs="Arial"/>
        </w:rPr>
      </w:pPr>
      <w:r w:rsidRPr="00E63615">
        <w:rPr>
          <w:rFonts w:cs="Arial"/>
        </w:rPr>
        <w:t>Makes decisions on complex and sensitive issues through the detailed analysis of alternative courses of action and their implications on achieving organisational objectives and strategies.</w:t>
      </w:r>
    </w:p>
    <w:p w14:paraId="205E598C" w14:textId="661F6B40" w:rsidR="00E63615" w:rsidRDefault="00E63615" w:rsidP="00E63615">
      <w:pPr>
        <w:pStyle w:val="ListParagraph"/>
        <w:numPr>
          <w:ilvl w:val="0"/>
          <w:numId w:val="11"/>
        </w:numPr>
        <w:tabs>
          <w:tab w:val="left" w:pos="2925"/>
        </w:tabs>
      </w:pPr>
      <w:r w:rsidRPr="00E63615">
        <w:rPr>
          <w:rFonts w:cs="Arial"/>
        </w:rPr>
        <w:t>Matters requiring a higher level of approval are referred to the Reporting Line Manager.</w:t>
      </w:r>
      <w:r w:rsidRPr="00E63615">
        <w:t xml:space="preserve"> </w:t>
      </w:r>
    </w:p>
    <w:p w14:paraId="2B50B642" w14:textId="0A8A12CE" w:rsidR="003927AE" w:rsidRPr="00614552" w:rsidRDefault="003927AE" w:rsidP="00E63615">
      <w:pPr>
        <w:pStyle w:val="Heading2"/>
      </w:pPr>
      <w:r w:rsidRPr="00614552">
        <w:t>Reporting line</w:t>
      </w:r>
    </w:p>
    <w:p w14:paraId="526CD752" w14:textId="4BB117A5" w:rsidR="003927AE" w:rsidRPr="00603D53" w:rsidRDefault="00E63615" w:rsidP="003927AE">
      <w:pPr>
        <w:rPr>
          <w:rFonts w:cs="Arial"/>
          <w:szCs w:val="26"/>
        </w:rPr>
      </w:pPr>
      <w:r>
        <w:rPr>
          <w:rFonts w:cs="Arial"/>
          <w:szCs w:val="26"/>
        </w:rPr>
        <w:t>n/a</w:t>
      </w:r>
    </w:p>
    <w:p w14:paraId="348D3A5C" w14:textId="77777777" w:rsidR="003927AE" w:rsidRPr="00E63615" w:rsidRDefault="003927AE" w:rsidP="003927AE">
      <w:pPr>
        <w:pStyle w:val="Heading2"/>
      </w:pPr>
      <w:r w:rsidRPr="00E63615">
        <w:t>Direct reports</w:t>
      </w:r>
    </w:p>
    <w:p w14:paraId="29049F89" w14:textId="328402B9" w:rsidR="003927AE" w:rsidRPr="00E63615" w:rsidRDefault="00E63615" w:rsidP="003927AE">
      <w:pPr>
        <w:rPr>
          <w:rFonts w:cs="Arial"/>
          <w:szCs w:val="26"/>
        </w:rPr>
      </w:pPr>
      <w:r w:rsidRPr="00E63615">
        <w:rPr>
          <w:rFonts w:cs="Arial"/>
          <w:szCs w:val="26"/>
        </w:rPr>
        <w:t>n/a</w:t>
      </w:r>
    </w:p>
    <w:p w14:paraId="31690284" w14:textId="77777777" w:rsidR="003927AE" w:rsidRPr="00614552" w:rsidRDefault="003927AE" w:rsidP="003927AE">
      <w:pPr>
        <w:pStyle w:val="Heading2"/>
      </w:pPr>
      <w:r w:rsidRPr="00614552">
        <w:t>Budget/Expenditure</w:t>
      </w:r>
    </w:p>
    <w:p w14:paraId="24926130" w14:textId="000F1DAB" w:rsidR="003927AE" w:rsidRDefault="00E63615" w:rsidP="003927AE">
      <w:pPr>
        <w:rPr>
          <w:rFonts w:cs="Arial"/>
          <w:szCs w:val="26"/>
        </w:rPr>
      </w:pPr>
      <w:r>
        <w:rPr>
          <w:rFonts w:cs="Arial"/>
          <w:szCs w:val="26"/>
        </w:rPr>
        <w:t>n/a</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lastRenderedPageBreak/>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1"/>
        <w:gridCol w:w="6049"/>
        <w:gridCol w:w="1315"/>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E6361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9"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5"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E63615">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8" w:space="0" w:color="D9D9D9" w:themeColor="background1" w:themeShade="D9"/>
            </w:tcBorders>
          </w:tcPr>
          <w:p w14:paraId="5A9498F1" w14:textId="46F19903"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3D87EE25" wp14:editId="22C7C40E">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751" w:type="dxa"/>
            <w:tcBorders>
              <w:top w:val="single" w:sz="18" w:space="0" w:color="auto"/>
              <w:bottom w:val="single" w:sz="8" w:space="0" w:color="D9D9D9" w:themeColor="background1" w:themeShade="D9"/>
            </w:tcBorders>
          </w:tcPr>
          <w:p w14:paraId="2887B0B0" w14:textId="77777777" w:rsidR="00B22D13" w:rsidRPr="00B22D13" w:rsidRDefault="00B22D1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22D13">
              <w:rPr>
                <w:rFonts w:ascii="Arial" w:hAnsi="Arial" w:cs="Arial"/>
                <w:b/>
                <w:bCs/>
                <w:sz w:val="20"/>
                <w:szCs w:val="20"/>
              </w:rPr>
              <w:t>Manage Self</w:t>
            </w:r>
            <w:r w:rsidRPr="00B22D13">
              <w:rPr>
                <w:rFonts w:ascii="Arial" w:hAnsi="Arial" w:cs="Arial"/>
                <w:b/>
                <w:bCs/>
                <w:sz w:val="20"/>
                <w:szCs w:val="20"/>
              </w:rPr>
              <w:tab/>
            </w:r>
          </w:p>
          <w:p w14:paraId="11BC3E14" w14:textId="20AD0439" w:rsidR="00847160" w:rsidRPr="00DB7774" w:rsidRDefault="00B22D1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Show drive and motivation, an ability to self-reflect and a commitment to learning</w:t>
            </w:r>
          </w:p>
        </w:tc>
        <w:tc>
          <w:tcPr>
            <w:tcW w:w="6049" w:type="dxa"/>
            <w:tcBorders>
              <w:top w:val="single" w:sz="18" w:space="0" w:color="auto"/>
              <w:bottom w:val="single" w:sz="8" w:space="0" w:color="D9D9D9" w:themeColor="background1" w:themeShade="D9"/>
            </w:tcBorders>
          </w:tcPr>
          <w:p w14:paraId="78D87DF8" w14:textId="77777777" w:rsidR="00B22D13" w:rsidRDefault="00B22D13"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Act as a professional role model for colleagues, set high personal goals and take pride in their achievement</w:t>
            </w:r>
            <w:r w:rsidRPr="00B22D13">
              <w:rPr>
                <w:rFonts w:ascii="Arial" w:hAnsi="Arial" w:cs="Arial"/>
                <w:sz w:val="20"/>
                <w:szCs w:val="20"/>
              </w:rPr>
              <w:tab/>
            </w:r>
          </w:p>
          <w:p w14:paraId="66C26883" w14:textId="77777777" w:rsidR="00B22D13" w:rsidRDefault="00B22D13"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 xml:space="preserve">Actively seek, </w:t>
            </w:r>
            <w:proofErr w:type="gramStart"/>
            <w:r w:rsidRPr="00B22D13">
              <w:rPr>
                <w:rFonts w:ascii="Arial" w:hAnsi="Arial" w:cs="Arial"/>
                <w:sz w:val="20"/>
                <w:szCs w:val="20"/>
              </w:rPr>
              <w:t>reflect</w:t>
            </w:r>
            <w:proofErr w:type="gramEnd"/>
            <w:r w:rsidRPr="00B22D13">
              <w:rPr>
                <w:rFonts w:ascii="Arial" w:hAnsi="Arial" w:cs="Arial"/>
                <w:sz w:val="20"/>
                <w:szCs w:val="20"/>
              </w:rPr>
              <w:t xml:space="preserve"> and act on feedback on own performance</w:t>
            </w:r>
            <w:r w:rsidRPr="00B22D13">
              <w:rPr>
                <w:rFonts w:ascii="Arial" w:hAnsi="Arial" w:cs="Arial"/>
                <w:sz w:val="20"/>
                <w:szCs w:val="20"/>
              </w:rPr>
              <w:tab/>
            </w:r>
          </w:p>
          <w:p w14:paraId="172172EB" w14:textId="77777777" w:rsidR="00B22D13" w:rsidRDefault="00B22D13"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Translate negative feedback into an opportunity to improve</w:t>
            </w:r>
            <w:r w:rsidRPr="00B22D13">
              <w:rPr>
                <w:rFonts w:ascii="Arial" w:hAnsi="Arial" w:cs="Arial"/>
                <w:sz w:val="20"/>
                <w:szCs w:val="20"/>
              </w:rPr>
              <w:tab/>
            </w:r>
          </w:p>
          <w:p w14:paraId="024D6888" w14:textId="77777777" w:rsidR="00B22D13" w:rsidRDefault="00B22D13"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Take the initiative and act in a decisive way</w:t>
            </w:r>
            <w:r w:rsidRPr="00B22D13">
              <w:rPr>
                <w:rFonts w:ascii="Arial" w:hAnsi="Arial" w:cs="Arial"/>
                <w:sz w:val="20"/>
                <w:szCs w:val="20"/>
              </w:rPr>
              <w:tab/>
            </w:r>
          </w:p>
          <w:p w14:paraId="4A21A140" w14:textId="79425F42" w:rsidR="00847160" w:rsidRPr="00DB7774" w:rsidRDefault="00B22D13"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Demonstrate a strong interest in new knowledge and emerging practices relevant to the organisation</w:t>
            </w:r>
            <w:r w:rsidRPr="00B22D13">
              <w:rPr>
                <w:rFonts w:ascii="Arial" w:hAnsi="Arial" w:cs="Arial"/>
                <w:sz w:val="20"/>
                <w:szCs w:val="20"/>
              </w:rPr>
              <w:tab/>
            </w:r>
          </w:p>
        </w:tc>
        <w:tc>
          <w:tcPr>
            <w:tcW w:w="1315" w:type="dxa"/>
            <w:tcBorders>
              <w:top w:val="single" w:sz="18" w:space="0" w:color="auto"/>
              <w:bottom w:val="single" w:sz="8" w:space="0" w:color="D9D9D9" w:themeColor="background1" w:themeShade="D9"/>
              <w:right w:val="single" w:sz="8" w:space="0" w:color="FFFFFF" w:themeColor="background1"/>
            </w:tcBorders>
          </w:tcPr>
          <w:p w14:paraId="0733E301" w14:textId="42B4C944" w:rsidR="00847160" w:rsidRPr="00DB7774" w:rsidRDefault="00B22D1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Advanced</w:t>
            </w:r>
          </w:p>
        </w:tc>
      </w:tr>
      <w:tr w:rsidR="00847160" w14:paraId="0E9389A9" w14:textId="77777777" w:rsidTr="00E63615">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29D5401E" w14:textId="18523BC7"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25CBEDCD" wp14:editId="1B6EA745">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90A8940" w14:textId="77777777" w:rsidR="00B22D13" w:rsidRPr="00B22D13" w:rsidRDefault="00B22D1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22D13">
              <w:rPr>
                <w:rFonts w:ascii="Arial" w:hAnsi="Arial" w:cs="Arial"/>
                <w:b/>
                <w:bCs/>
                <w:sz w:val="20"/>
                <w:szCs w:val="20"/>
              </w:rPr>
              <w:t>Communicate Effectively</w:t>
            </w:r>
            <w:r w:rsidRPr="00B22D13">
              <w:rPr>
                <w:rFonts w:ascii="Arial" w:hAnsi="Arial" w:cs="Arial"/>
                <w:b/>
                <w:bCs/>
                <w:sz w:val="20"/>
                <w:szCs w:val="20"/>
              </w:rPr>
              <w:tab/>
            </w:r>
          </w:p>
          <w:p w14:paraId="75097C1D" w14:textId="0B20813C" w:rsidR="00847160" w:rsidRPr="00DB7774" w:rsidRDefault="00B22D1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Communicate clearly, actively listen to others, and respond with understanding and respect</w:t>
            </w:r>
          </w:p>
        </w:tc>
        <w:tc>
          <w:tcPr>
            <w:tcW w:w="6049" w:type="dxa"/>
            <w:tcBorders>
              <w:top w:val="single" w:sz="8" w:space="0" w:color="D9D9D9" w:themeColor="background1" w:themeShade="D9"/>
              <w:bottom w:val="single" w:sz="8" w:space="0" w:color="D9D9D9" w:themeColor="background1" w:themeShade="D9"/>
            </w:tcBorders>
          </w:tcPr>
          <w:p w14:paraId="4993208C" w14:textId="77777777" w:rsid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Present with credibility, engage diverse audiences and test levels of understanding</w:t>
            </w:r>
            <w:r w:rsidRPr="00B22D13">
              <w:rPr>
                <w:rFonts w:ascii="Arial" w:hAnsi="Arial" w:cs="Arial"/>
                <w:sz w:val="20"/>
                <w:szCs w:val="20"/>
              </w:rPr>
              <w:tab/>
            </w:r>
          </w:p>
          <w:p w14:paraId="3EE58A83" w14:textId="77777777" w:rsid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Translate technical and complex information clearly and concisely for diverse audiences</w:t>
            </w:r>
            <w:r w:rsidRPr="00B22D13">
              <w:rPr>
                <w:rFonts w:ascii="Arial" w:hAnsi="Arial" w:cs="Arial"/>
                <w:sz w:val="20"/>
                <w:szCs w:val="20"/>
              </w:rPr>
              <w:tab/>
            </w:r>
          </w:p>
          <w:p w14:paraId="145BF843" w14:textId="77777777" w:rsid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Create opportunities for others to contribute to discussion and debate</w:t>
            </w:r>
            <w:r w:rsidRPr="00B22D13">
              <w:rPr>
                <w:rFonts w:ascii="Arial" w:hAnsi="Arial" w:cs="Arial"/>
                <w:sz w:val="20"/>
                <w:szCs w:val="20"/>
              </w:rPr>
              <w:tab/>
            </w:r>
          </w:p>
          <w:p w14:paraId="3C51CA08" w14:textId="77777777" w:rsid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Contribute to and promote information sharing across the organisation</w:t>
            </w:r>
            <w:r w:rsidRPr="00B22D13">
              <w:rPr>
                <w:rFonts w:ascii="Arial" w:hAnsi="Arial" w:cs="Arial"/>
                <w:sz w:val="20"/>
                <w:szCs w:val="20"/>
              </w:rPr>
              <w:tab/>
            </w:r>
          </w:p>
          <w:p w14:paraId="7685882A" w14:textId="77777777" w:rsid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Manage complex communications that involve understanding and responding to multiple and divergent viewpoints</w:t>
            </w:r>
            <w:r w:rsidRPr="00B22D13">
              <w:rPr>
                <w:rFonts w:ascii="Arial" w:hAnsi="Arial" w:cs="Arial"/>
                <w:sz w:val="20"/>
                <w:szCs w:val="20"/>
              </w:rPr>
              <w:tab/>
            </w:r>
          </w:p>
          <w:p w14:paraId="6791697F" w14:textId="77777777" w:rsid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Explore creative ways to engage diverse audiences and communicate information</w:t>
            </w:r>
            <w:r w:rsidRPr="00B22D13">
              <w:rPr>
                <w:rFonts w:ascii="Arial" w:hAnsi="Arial" w:cs="Arial"/>
                <w:sz w:val="20"/>
                <w:szCs w:val="20"/>
              </w:rPr>
              <w:tab/>
            </w:r>
          </w:p>
          <w:p w14:paraId="35AF218B" w14:textId="77777777" w:rsid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Adjust style and approach to optimise outcomes</w:t>
            </w:r>
            <w:r w:rsidRPr="00B22D13">
              <w:rPr>
                <w:rFonts w:ascii="Arial" w:hAnsi="Arial" w:cs="Arial"/>
                <w:sz w:val="20"/>
                <w:szCs w:val="20"/>
              </w:rPr>
              <w:tab/>
            </w:r>
          </w:p>
          <w:p w14:paraId="4755B4B8" w14:textId="5089131D" w:rsidR="00847160" w:rsidRPr="00DB7774"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Write fluently and persuasively in plain English and in a range of styles and formats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51F4393C" w:rsidR="00847160" w:rsidRPr="00DB7774" w:rsidRDefault="00B22D1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Advanced</w:t>
            </w:r>
          </w:p>
        </w:tc>
      </w:tr>
      <w:tr w:rsidR="00847160" w14:paraId="4C104899" w14:textId="77777777" w:rsidTr="00E63615">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4D14DA68" w14:textId="41BEA473"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49B7A951" wp14:editId="25E76497">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CA820FA" w14:textId="59060317" w:rsidR="00B22D13" w:rsidRPr="00B22D13" w:rsidRDefault="00B22D1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22D13">
              <w:rPr>
                <w:rFonts w:ascii="Arial" w:hAnsi="Arial" w:cs="Arial"/>
                <w:b/>
                <w:bCs/>
                <w:sz w:val="20"/>
                <w:szCs w:val="20"/>
              </w:rPr>
              <w:t>Deliver Results</w:t>
            </w:r>
          </w:p>
          <w:p w14:paraId="340BA298" w14:textId="17F066E5" w:rsidR="00847160" w:rsidRPr="00DB7774" w:rsidRDefault="00B22D1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Achieve results through the efficient use of resources and a commitment to quality outcomes</w:t>
            </w:r>
          </w:p>
        </w:tc>
        <w:tc>
          <w:tcPr>
            <w:tcW w:w="6049" w:type="dxa"/>
            <w:tcBorders>
              <w:top w:val="single" w:sz="8" w:space="0" w:color="D9D9D9" w:themeColor="background1" w:themeShade="D9"/>
              <w:bottom w:val="single" w:sz="8" w:space="0" w:color="D9D9D9" w:themeColor="background1" w:themeShade="D9"/>
            </w:tcBorders>
          </w:tcPr>
          <w:p w14:paraId="25C104B0" w14:textId="77777777" w:rsid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Seek and apply the expertise of key individuals to achieve organisational outcomes</w:t>
            </w:r>
            <w:r w:rsidRPr="00B22D13">
              <w:rPr>
                <w:rFonts w:ascii="Arial" w:hAnsi="Arial" w:cs="Arial"/>
                <w:sz w:val="20"/>
                <w:szCs w:val="20"/>
              </w:rPr>
              <w:tab/>
            </w:r>
          </w:p>
          <w:p w14:paraId="67896931" w14:textId="77777777" w:rsid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Drive a culture of achievement and acknowledge input from others</w:t>
            </w:r>
            <w:r w:rsidRPr="00B22D13">
              <w:rPr>
                <w:rFonts w:ascii="Arial" w:hAnsi="Arial" w:cs="Arial"/>
                <w:sz w:val="20"/>
                <w:szCs w:val="20"/>
              </w:rPr>
              <w:tab/>
            </w:r>
          </w:p>
          <w:p w14:paraId="0956F325" w14:textId="77777777" w:rsid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Determine how outcomes will be measured and guide others on evaluation methods</w:t>
            </w:r>
            <w:r w:rsidRPr="00B22D13">
              <w:rPr>
                <w:rFonts w:ascii="Arial" w:hAnsi="Arial" w:cs="Arial"/>
                <w:sz w:val="20"/>
                <w:szCs w:val="20"/>
              </w:rPr>
              <w:tab/>
            </w:r>
          </w:p>
          <w:p w14:paraId="79D8983B" w14:textId="77777777" w:rsid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Investigate and create opportunities to enhance the achievement of organisational objectives</w:t>
            </w:r>
            <w:r w:rsidRPr="00B22D13">
              <w:rPr>
                <w:rFonts w:ascii="Arial" w:hAnsi="Arial" w:cs="Arial"/>
                <w:sz w:val="20"/>
                <w:szCs w:val="20"/>
              </w:rPr>
              <w:tab/>
            </w:r>
          </w:p>
          <w:p w14:paraId="284ED41B" w14:textId="77777777" w:rsid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Make sure others understand that on-time and on-budget results are required and how overall success is defined</w:t>
            </w:r>
            <w:r w:rsidRPr="00B22D13">
              <w:rPr>
                <w:rFonts w:ascii="Arial" w:hAnsi="Arial" w:cs="Arial"/>
                <w:sz w:val="20"/>
                <w:szCs w:val="20"/>
              </w:rPr>
              <w:tab/>
            </w:r>
          </w:p>
          <w:p w14:paraId="73FA9624" w14:textId="77777777" w:rsid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Control business unit output to ensure government outcomes are achieved within budgets</w:t>
            </w:r>
            <w:r w:rsidRPr="00B22D13">
              <w:rPr>
                <w:rFonts w:ascii="Arial" w:hAnsi="Arial" w:cs="Arial"/>
                <w:sz w:val="20"/>
                <w:szCs w:val="20"/>
              </w:rPr>
              <w:tab/>
            </w:r>
          </w:p>
          <w:p w14:paraId="7D14BEFC" w14:textId="732BD796" w:rsidR="00847160" w:rsidRPr="00DB7774"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Progress organisational priorities and ensure that resources are acquired and used effectively</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5107BD11" w:rsidR="00847160" w:rsidRPr="00DB7774" w:rsidRDefault="00CA750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B22D13" w14:paraId="08C91327" w14:textId="77777777" w:rsidTr="00480400">
        <w:trPr>
          <w:trHeight w:val="13"/>
        </w:trPr>
        <w:tc>
          <w:tcPr>
            <w:cnfStyle w:val="001000000000" w:firstRow="0" w:lastRow="0" w:firstColumn="1" w:lastColumn="0" w:oddVBand="0" w:evenVBand="0" w:oddHBand="0" w:evenHBand="0" w:firstRowFirstColumn="0" w:firstRowLastColumn="0" w:lastRowFirstColumn="0" w:lastRowLastColumn="0"/>
            <w:tcW w:w="1759" w:type="dxa"/>
            <w:vMerge w:val="restart"/>
            <w:tcBorders>
              <w:top w:val="single" w:sz="8" w:space="0" w:color="D9D9D9" w:themeColor="background1" w:themeShade="D9"/>
              <w:left w:val="single" w:sz="8" w:space="0" w:color="FFFFFF" w:themeColor="background1"/>
            </w:tcBorders>
          </w:tcPr>
          <w:p w14:paraId="7C47F742" w14:textId="77777777" w:rsidR="00B22D13" w:rsidRPr="00C978B9" w:rsidRDefault="00B22D13" w:rsidP="00DB7774">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1BB288E3" w14:textId="77777777" w:rsidR="00B22D13" w:rsidRPr="00B22D13" w:rsidRDefault="00B22D13"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22D13">
              <w:rPr>
                <w:rFonts w:ascii="Arial" w:hAnsi="Arial" w:cs="Arial"/>
                <w:b/>
                <w:bCs/>
                <w:sz w:val="20"/>
                <w:szCs w:val="20"/>
              </w:rPr>
              <w:t>Plan and Prioritise</w:t>
            </w:r>
            <w:r w:rsidRPr="00B22D13">
              <w:rPr>
                <w:rFonts w:ascii="Arial" w:hAnsi="Arial" w:cs="Arial"/>
                <w:b/>
                <w:bCs/>
                <w:sz w:val="20"/>
                <w:szCs w:val="20"/>
              </w:rPr>
              <w:tab/>
            </w:r>
          </w:p>
          <w:p w14:paraId="6FE5A971" w14:textId="757EC759" w:rsidR="00B22D13" w:rsidRPr="00B22D13" w:rsidRDefault="00B22D13" w:rsidP="00DB777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B22D13">
              <w:rPr>
                <w:rFonts w:ascii="Arial" w:hAnsi="Arial" w:cs="Arial"/>
                <w:sz w:val="20"/>
                <w:szCs w:val="20"/>
              </w:rPr>
              <w:t>Plan to achieve priority outcomes and respond flexibly to changing circumstances</w:t>
            </w:r>
          </w:p>
        </w:tc>
        <w:tc>
          <w:tcPr>
            <w:tcW w:w="6049" w:type="dxa"/>
            <w:tcBorders>
              <w:top w:val="single" w:sz="8" w:space="0" w:color="D9D9D9" w:themeColor="background1" w:themeShade="D9"/>
              <w:bottom w:val="single" w:sz="8" w:space="0" w:color="D9D9D9" w:themeColor="background1" w:themeShade="D9"/>
            </w:tcBorders>
          </w:tcPr>
          <w:p w14:paraId="75DA359F"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 xml:space="preserve">Understand the links between the business unit, </w:t>
            </w:r>
            <w:proofErr w:type="gramStart"/>
            <w:r w:rsidRPr="00B22D13">
              <w:rPr>
                <w:rFonts w:ascii="Arial" w:hAnsi="Arial" w:cs="Arial"/>
                <w:sz w:val="20"/>
                <w:szCs w:val="20"/>
              </w:rPr>
              <w:t>organisation</w:t>
            </w:r>
            <w:proofErr w:type="gramEnd"/>
            <w:r w:rsidRPr="00B22D13">
              <w:rPr>
                <w:rFonts w:ascii="Arial" w:hAnsi="Arial" w:cs="Arial"/>
                <w:sz w:val="20"/>
                <w:szCs w:val="20"/>
              </w:rPr>
              <w:t xml:space="preserve"> and the whole-of-government agenda</w:t>
            </w:r>
            <w:r w:rsidRPr="00B22D13">
              <w:rPr>
                <w:rFonts w:ascii="Arial" w:hAnsi="Arial" w:cs="Arial"/>
                <w:sz w:val="20"/>
                <w:szCs w:val="20"/>
              </w:rPr>
              <w:tab/>
            </w:r>
          </w:p>
          <w:p w14:paraId="17B2E396"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Ensure business plan goals are clear and appropriate and include contingency provisions</w:t>
            </w:r>
            <w:r w:rsidRPr="00B22D13">
              <w:rPr>
                <w:rFonts w:ascii="Arial" w:hAnsi="Arial" w:cs="Arial"/>
                <w:sz w:val="20"/>
                <w:szCs w:val="20"/>
              </w:rPr>
              <w:tab/>
            </w:r>
          </w:p>
          <w:p w14:paraId="3B369E4F"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Monitor the progress of initiatives and make necessary adjustments</w:t>
            </w:r>
            <w:r w:rsidRPr="00B22D13">
              <w:rPr>
                <w:rFonts w:ascii="Arial" w:hAnsi="Arial" w:cs="Arial"/>
                <w:sz w:val="20"/>
                <w:szCs w:val="20"/>
              </w:rPr>
              <w:tab/>
            </w:r>
          </w:p>
          <w:p w14:paraId="4CCD7FD1"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Anticipate and assess the impact of changes, including government policy and economic conditions, on business plans and initiatives and respond appropriately</w:t>
            </w:r>
            <w:r w:rsidRPr="00B22D13">
              <w:rPr>
                <w:rFonts w:ascii="Arial" w:hAnsi="Arial" w:cs="Arial"/>
                <w:sz w:val="20"/>
                <w:szCs w:val="20"/>
              </w:rPr>
              <w:tab/>
            </w:r>
          </w:p>
          <w:p w14:paraId="4F1516F8"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Consider the implications of a wide range of complex issues and shift business priorities when necessary</w:t>
            </w:r>
            <w:r w:rsidRPr="00B22D13">
              <w:rPr>
                <w:rFonts w:ascii="Arial" w:hAnsi="Arial" w:cs="Arial"/>
                <w:sz w:val="20"/>
                <w:szCs w:val="20"/>
              </w:rPr>
              <w:tab/>
            </w:r>
          </w:p>
          <w:p w14:paraId="58A247AA" w14:textId="02AD57FC"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B22D13">
              <w:rPr>
                <w:rFonts w:ascii="Arial" w:hAnsi="Arial" w:cs="Arial"/>
                <w:sz w:val="20"/>
                <w:szCs w:val="20"/>
              </w:rPr>
              <w:t>Undertake planning to help the organisation transition through change initiatives, and evaluate progress and outcomes to inform future planning</w:t>
            </w:r>
            <w:r w:rsidRPr="00B22D13">
              <w:rPr>
                <w:rFonts w:cs="Arial"/>
                <w:sz w:val="20"/>
                <w:szCs w:val="20"/>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64A42916" w14:textId="3B70275F" w:rsidR="00B22D13" w:rsidRPr="00B22D13" w:rsidRDefault="00B22D13"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Advanced</w:t>
            </w:r>
          </w:p>
        </w:tc>
      </w:tr>
      <w:tr w:rsidR="00B22D13" w14:paraId="6B022C2D" w14:textId="77777777" w:rsidTr="00480400">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single" w:sz="8" w:space="0" w:color="D9D9D9" w:themeColor="background1" w:themeShade="D9"/>
            </w:tcBorders>
          </w:tcPr>
          <w:p w14:paraId="1538B27B" w14:textId="77777777" w:rsidR="00B22D13" w:rsidRPr="00C978B9" w:rsidRDefault="00B22D13" w:rsidP="00DB7774">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5F721B73" w14:textId="77777777" w:rsidR="00B22D13" w:rsidRPr="00B22D13" w:rsidRDefault="00B22D13" w:rsidP="00B22D1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22D13">
              <w:rPr>
                <w:rFonts w:ascii="Arial" w:hAnsi="Arial" w:cs="Arial"/>
                <w:b/>
                <w:bCs/>
                <w:sz w:val="20"/>
                <w:szCs w:val="20"/>
              </w:rPr>
              <w:t>Think and Solve Problems</w:t>
            </w:r>
            <w:r w:rsidRPr="00B22D13">
              <w:rPr>
                <w:rFonts w:ascii="Arial" w:hAnsi="Arial" w:cs="Arial"/>
                <w:b/>
                <w:bCs/>
                <w:sz w:val="20"/>
                <w:szCs w:val="20"/>
              </w:rPr>
              <w:tab/>
            </w:r>
          </w:p>
          <w:p w14:paraId="3B23D66D" w14:textId="5B7981B6" w:rsidR="00B22D13" w:rsidRPr="00B22D13" w:rsidRDefault="00B22D13" w:rsidP="00B22D1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 xml:space="preserve">Think, </w:t>
            </w:r>
            <w:proofErr w:type="gramStart"/>
            <w:r w:rsidRPr="00B22D13">
              <w:rPr>
                <w:rFonts w:ascii="Arial" w:hAnsi="Arial" w:cs="Arial"/>
                <w:sz w:val="20"/>
                <w:szCs w:val="20"/>
              </w:rPr>
              <w:t>analyse</w:t>
            </w:r>
            <w:proofErr w:type="gramEnd"/>
            <w:r w:rsidRPr="00B22D13">
              <w:rPr>
                <w:rFonts w:ascii="Arial" w:hAnsi="Arial" w:cs="Arial"/>
                <w:sz w:val="20"/>
                <w:szCs w:val="20"/>
              </w:rPr>
              <w:t xml:space="preserve"> and consider the broader context to develop practical solutions</w:t>
            </w:r>
          </w:p>
        </w:tc>
        <w:tc>
          <w:tcPr>
            <w:tcW w:w="6049" w:type="dxa"/>
            <w:tcBorders>
              <w:top w:val="single" w:sz="8" w:space="0" w:color="D9D9D9" w:themeColor="background1" w:themeShade="D9"/>
              <w:bottom w:val="single" w:sz="8" w:space="0" w:color="D9D9D9" w:themeColor="background1" w:themeShade="D9"/>
            </w:tcBorders>
          </w:tcPr>
          <w:p w14:paraId="22F5FF31"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Undertake objective, critical analysis to draw accurate conclusions that recognise and manage contextual issues</w:t>
            </w:r>
            <w:r w:rsidRPr="00B22D13">
              <w:rPr>
                <w:rFonts w:ascii="Arial" w:hAnsi="Arial" w:cs="Arial"/>
                <w:sz w:val="20"/>
                <w:szCs w:val="20"/>
              </w:rPr>
              <w:tab/>
            </w:r>
          </w:p>
          <w:p w14:paraId="316D472F"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Work through issues, weigh up alternatives and identify the most effective solutions in collaboration with others</w:t>
            </w:r>
            <w:r w:rsidRPr="00B22D13">
              <w:rPr>
                <w:rFonts w:ascii="Arial" w:hAnsi="Arial" w:cs="Arial"/>
                <w:sz w:val="20"/>
                <w:szCs w:val="20"/>
              </w:rPr>
              <w:tab/>
            </w:r>
          </w:p>
          <w:p w14:paraId="40E497DD" w14:textId="33287069"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Take account of the wider business context when considering options to resolve issues</w:t>
            </w:r>
            <w:r w:rsidRPr="00B22D13">
              <w:rPr>
                <w:rFonts w:ascii="Arial" w:hAnsi="Arial" w:cs="Arial"/>
                <w:sz w:val="20"/>
                <w:szCs w:val="20"/>
              </w:rPr>
              <w:tab/>
            </w:r>
          </w:p>
          <w:p w14:paraId="2E451BE4"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 xml:space="preserve">Explore a range of possibilities and creative alternatives to contribute to system, </w:t>
            </w:r>
            <w:proofErr w:type="gramStart"/>
            <w:r w:rsidRPr="00B22D13">
              <w:rPr>
                <w:rFonts w:ascii="Arial" w:hAnsi="Arial" w:cs="Arial"/>
                <w:sz w:val="20"/>
                <w:szCs w:val="20"/>
              </w:rPr>
              <w:t>process</w:t>
            </w:r>
            <w:proofErr w:type="gramEnd"/>
            <w:r w:rsidRPr="00B22D13">
              <w:rPr>
                <w:rFonts w:ascii="Arial" w:hAnsi="Arial" w:cs="Arial"/>
                <w:sz w:val="20"/>
                <w:szCs w:val="20"/>
              </w:rPr>
              <w:t xml:space="preserve"> and business improvements</w:t>
            </w:r>
            <w:r w:rsidRPr="00B22D13">
              <w:rPr>
                <w:rFonts w:ascii="Arial" w:hAnsi="Arial" w:cs="Arial"/>
                <w:sz w:val="20"/>
                <w:szCs w:val="20"/>
              </w:rPr>
              <w:tab/>
            </w:r>
          </w:p>
          <w:p w14:paraId="740CB867"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Implement systems and processes that are underpinned by high-quality research and analysis</w:t>
            </w:r>
            <w:r w:rsidRPr="00B22D13">
              <w:rPr>
                <w:rFonts w:ascii="Arial" w:hAnsi="Arial" w:cs="Arial"/>
                <w:sz w:val="20"/>
                <w:szCs w:val="20"/>
              </w:rPr>
              <w:tab/>
            </w:r>
          </w:p>
          <w:p w14:paraId="74DBE68C"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Look for opportunities to design innovative solutions to meet user needs and service demands</w:t>
            </w:r>
            <w:r w:rsidRPr="00B22D13">
              <w:rPr>
                <w:rFonts w:ascii="Arial" w:hAnsi="Arial" w:cs="Arial"/>
                <w:sz w:val="20"/>
                <w:szCs w:val="20"/>
              </w:rPr>
              <w:tab/>
            </w:r>
          </w:p>
          <w:p w14:paraId="68E5E0D9" w14:textId="270B3ACF"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B22D13">
              <w:rPr>
                <w:rFonts w:ascii="Arial" w:hAnsi="Arial" w:cs="Arial"/>
                <w:sz w:val="20"/>
                <w:szCs w:val="20"/>
              </w:rPr>
              <w:t xml:space="preserve">Evaluate the performance and effectiveness of services, </w:t>
            </w:r>
            <w:proofErr w:type="gramStart"/>
            <w:r w:rsidRPr="00B22D13">
              <w:rPr>
                <w:rFonts w:ascii="Arial" w:hAnsi="Arial" w:cs="Arial"/>
                <w:sz w:val="20"/>
                <w:szCs w:val="20"/>
              </w:rPr>
              <w:t>policies</w:t>
            </w:r>
            <w:proofErr w:type="gramEnd"/>
            <w:r w:rsidRPr="00B22D13">
              <w:rPr>
                <w:rFonts w:ascii="Arial" w:hAnsi="Arial" w:cs="Arial"/>
                <w:sz w:val="20"/>
                <w:szCs w:val="20"/>
              </w:rPr>
              <w:t xml:space="preserve"> and programs against clear criteria</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55EFC916" w14:textId="49D59DF7" w:rsidR="00B22D13" w:rsidRPr="00B22D13" w:rsidRDefault="00CA7508" w:rsidP="00DB7774">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B22D13">
              <w:rPr>
                <w:rFonts w:ascii="Arial" w:hAnsi="Arial" w:cs="Arial"/>
                <w:sz w:val="20"/>
                <w:szCs w:val="20"/>
              </w:rPr>
              <w:t>Advanced</w:t>
            </w:r>
          </w:p>
        </w:tc>
      </w:tr>
      <w:tr w:rsidR="00B22D13" w14:paraId="0B1E5AD0" w14:textId="77777777" w:rsidTr="00F25C09">
        <w:trPr>
          <w:trHeight w:val="5"/>
        </w:trPr>
        <w:tc>
          <w:tcPr>
            <w:cnfStyle w:val="001000000000" w:firstRow="0" w:lastRow="0" w:firstColumn="1" w:lastColumn="0" w:oddVBand="0" w:evenVBand="0" w:oddHBand="0" w:evenHBand="0" w:firstRowFirstColumn="0" w:firstRowLastColumn="0" w:lastRowFirstColumn="0" w:lastRowLastColumn="0"/>
            <w:tcW w:w="1759" w:type="dxa"/>
            <w:vMerge w:val="restart"/>
            <w:tcBorders>
              <w:top w:val="single" w:sz="8" w:space="0" w:color="D9D9D9" w:themeColor="background1" w:themeShade="D9"/>
              <w:left w:val="single" w:sz="8" w:space="0" w:color="FFFFFF" w:themeColor="background1"/>
            </w:tcBorders>
          </w:tcPr>
          <w:p w14:paraId="27BDFC89" w14:textId="11E69330" w:rsidR="00B22D13" w:rsidRPr="00DB7774" w:rsidRDefault="00B22D13" w:rsidP="00DB7774">
            <w:pPr>
              <w:spacing w:before="120" w:line="276" w:lineRule="auto"/>
              <w:rPr>
                <w:rFonts w:ascii="Arial" w:hAnsi="Arial" w:cs="Arial"/>
                <w:sz w:val="20"/>
                <w:szCs w:val="20"/>
              </w:rPr>
            </w:pPr>
            <w:r w:rsidRPr="00C978B9">
              <w:rPr>
                <w:noProof/>
                <w:lang w:eastAsia="en-AU"/>
              </w:rPr>
              <w:drawing>
                <wp:inline distT="0" distB="0" distL="0" distR="0" wp14:anchorId="55A95AE6" wp14:editId="5D1107D0">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28C2C2F4" w14:textId="77777777" w:rsidR="00B22D13" w:rsidRPr="00B22D13" w:rsidRDefault="00B22D1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22D13">
              <w:rPr>
                <w:rFonts w:ascii="Arial" w:hAnsi="Arial" w:cs="Arial"/>
                <w:b/>
                <w:bCs/>
                <w:sz w:val="20"/>
                <w:szCs w:val="20"/>
              </w:rPr>
              <w:t>Technology</w:t>
            </w:r>
            <w:r w:rsidRPr="00B22D13">
              <w:rPr>
                <w:rFonts w:ascii="Arial" w:hAnsi="Arial" w:cs="Arial"/>
                <w:b/>
                <w:bCs/>
                <w:sz w:val="20"/>
                <w:szCs w:val="20"/>
              </w:rPr>
              <w:tab/>
            </w:r>
          </w:p>
          <w:p w14:paraId="3E8DDD46" w14:textId="0C515F54" w:rsidR="00B22D13" w:rsidRPr="00DB7774" w:rsidRDefault="00B22D1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Understand and use available technologies to maximise efficiencies and effectiveness</w:t>
            </w:r>
          </w:p>
        </w:tc>
        <w:tc>
          <w:tcPr>
            <w:tcW w:w="6049" w:type="dxa"/>
            <w:tcBorders>
              <w:top w:val="single" w:sz="8" w:space="0" w:color="D9D9D9" w:themeColor="background1" w:themeShade="D9"/>
              <w:bottom w:val="single" w:sz="8" w:space="0" w:color="D9D9D9" w:themeColor="background1" w:themeShade="D9"/>
            </w:tcBorders>
          </w:tcPr>
          <w:p w14:paraId="2EA0C64F"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Champion the use of innovative technologies in the workplace</w:t>
            </w:r>
            <w:r w:rsidRPr="00B22D13">
              <w:rPr>
                <w:rFonts w:ascii="Arial" w:hAnsi="Arial" w:cs="Arial"/>
                <w:sz w:val="20"/>
                <w:szCs w:val="20"/>
              </w:rPr>
              <w:tab/>
            </w:r>
          </w:p>
          <w:p w14:paraId="217875C9"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Actively manage risk to ensure compliance with cyber security and acceptable use of technology policies</w:t>
            </w:r>
            <w:r w:rsidRPr="00B22D13">
              <w:rPr>
                <w:rFonts w:ascii="Arial" w:hAnsi="Arial" w:cs="Arial"/>
                <w:sz w:val="20"/>
                <w:szCs w:val="20"/>
              </w:rPr>
              <w:tab/>
            </w:r>
          </w:p>
          <w:p w14:paraId="5AA5E911"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Keep up to date with emerging technologies and technology trends to understand how their application can support business outcomes</w:t>
            </w:r>
            <w:r w:rsidRPr="00B22D13">
              <w:rPr>
                <w:rFonts w:ascii="Arial" w:hAnsi="Arial" w:cs="Arial"/>
                <w:sz w:val="20"/>
                <w:szCs w:val="20"/>
              </w:rPr>
              <w:tab/>
            </w:r>
          </w:p>
          <w:p w14:paraId="3D091C79" w14:textId="77777777" w:rsidR="00B22D13" w:rsidRPr="00B22D13"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Seek advice from appropriate subject-matter experts on using technologies to achieve business strategies and outcomes</w:t>
            </w:r>
            <w:r w:rsidRPr="00B22D13">
              <w:rPr>
                <w:rFonts w:ascii="Arial" w:hAnsi="Arial" w:cs="Arial"/>
                <w:sz w:val="20"/>
                <w:szCs w:val="20"/>
              </w:rPr>
              <w:tab/>
            </w:r>
          </w:p>
          <w:p w14:paraId="4955A89E" w14:textId="29EB2577" w:rsidR="00B22D13" w:rsidRPr="00DB7774" w:rsidRDefault="00B22D13" w:rsidP="00B22D13">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B22D13">
              <w:rPr>
                <w:rFonts w:ascii="Arial" w:hAnsi="Arial" w:cs="Arial"/>
                <w:sz w:val="20"/>
                <w:szCs w:val="20"/>
              </w:rPr>
              <w:t xml:space="preserve">Actively manage risk of breaches to appropriate records, information and knowledge management systems, </w:t>
            </w:r>
            <w:proofErr w:type="gramStart"/>
            <w:r w:rsidRPr="00B22D13">
              <w:rPr>
                <w:rFonts w:ascii="Arial" w:hAnsi="Arial" w:cs="Arial"/>
                <w:sz w:val="20"/>
                <w:szCs w:val="20"/>
              </w:rPr>
              <w:t>protocols</w:t>
            </w:r>
            <w:proofErr w:type="gramEnd"/>
            <w:r w:rsidRPr="00B22D13">
              <w:rPr>
                <w:rFonts w:ascii="Arial" w:hAnsi="Arial" w:cs="Arial"/>
                <w:sz w:val="20"/>
                <w:szCs w:val="20"/>
              </w:rPr>
              <w:t xml:space="preserve"> and policies</w:t>
            </w:r>
            <w:r w:rsidRPr="00B22D13">
              <w:rPr>
                <w:rFonts w:cs="Arial"/>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2319E48C" w:rsidR="00B22D13" w:rsidRPr="00DB7774" w:rsidRDefault="00CA750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D13">
              <w:rPr>
                <w:rFonts w:ascii="Arial" w:hAnsi="Arial" w:cs="Arial"/>
                <w:sz w:val="20"/>
                <w:szCs w:val="20"/>
              </w:rPr>
              <w:t>Advanced</w:t>
            </w:r>
          </w:p>
        </w:tc>
      </w:tr>
      <w:tr w:rsidR="00B22D13" w14:paraId="2744FDAB" w14:textId="77777777" w:rsidTr="00F25C0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single" w:sz="8" w:space="0" w:color="BCBEC0"/>
            </w:tcBorders>
          </w:tcPr>
          <w:p w14:paraId="687E7A27" w14:textId="16DD2AE0" w:rsidR="00B22D13" w:rsidRPr="00C978B9" w:rsidRDefault="00B22D13" w:rsidP="00DB7774">
            <w:pPr>
              <w:spacing w:before="120"/>
              <w:rPr>
                <w:noProof/>
                <w:lang w:eastAsia="en-AU"/>
              </w:rPr>
            </w:pPr>
          </w:p>
        </w:tc>
        <w:tc>
          <w:tcPr>
            <w:tcW w:w="1751" w:type="dxa"/>
            <w:tcBorders>
              <w:top w:val="single" w:sz="8" w:space="0" w:color="D9D9D9" w:themeColor="background1" w:themeShade="D9"/>
              <w:bottom w:val="single" w:sz="8" w:space="0" w:color="BCBEC0"/>
            </w:tcBorders>
          </w:tcPr>
          <w:p w14:paraId="038BE7AA" w14:textId="77777777" w:rsidR="00B22D13" w:rsidRPr="00B22D13" w:rsidRDefault="00B22D13" w:rsidP="00B22D1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22D13">
              <w:rPr>
                <w:rFonts w:ascii="Arial" w:hAnsi="Arial" w:cs="Arial"/>
                <w:b/>
                <w:bCs/>
                <w:sz w:val="20"/>
                <w:szCs w:val="20"/>
              </w:rPr>
              <w:t>Project Management</w:t>
            </w:r>
            <w:r w:rsidRPr="00B22D13">
              <w:rPr>
                <w:rFonts w:ascii="Arial" w:hAnsi="Arial" w:cs="Arial"/>
                <w:b/>
                <w:bCs/>
                <w:sz w:val="20"/>
                <w:szCs w:val="20"/>
              </w:rPr>
              <w:tab/>
            </w:r>
          </w:p>
          <w:p w14:paraId="57211504" w14:textId="4BD3485D" w:rsidR="00B22D13" w:rsidRPr="00B22D13" w:rsidRDefault="00B22D13" w:rsidP="00B22D1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 xml:space="preserve">Understand and apply effective </w:t>
            </w:r>
            <w:r w:rsidRPr="00B22D13">
              <w:rPr>
                <w:rFonts w:ascii="Arial" w:hAnsi="Arial" w:cs="Arial"/>
                <w:sz w:val="20"/>
                <w:szCs w:val="20"/>
              </w:rPr>
              <w:lastRenderedPageBreak/>
              <w:t xml:space="preserve">planning, </w:t>
            </w:r>
            <w:proofErr w:type="gramStart"/>
            <w:r w:rsidRPr="00B22D13">
              <w:rPr>
                <w:rFonts w:ascii="Arial" w:hAnsi="Arial" w:cs="Arial"/>
                <w:sz w:val="20"/>
                <w:szCs w:val="20"/>
              </w:rPr>
              <w:t>coordination</w:t>
            </w:r>
            <w:proofErr w:type="gramEnd"/>
            <w:r w:rsidRPr="00B22D13">
              <w:rPr>
                <w:rFonts w:ascii="Arial" w:hAnsi="Arial" w:cs="Arial"/>
                <w:sz w:val="20"/>
                <w:szCs w:val="20"/>
              </w:rPr>
              <w:t xml:space="preserve"> and control methods</w:t>
            </w:r>
          </w:p>
        </w:tc>
        <w:tc>
          <w:tcPr>
            <w:tcW w:w="6049" w:type="dxa"/>
            <w:tcBorders>
              <w:top w:val="single" w:sz="8" w:space="0" w:color="D9D9D9" w:themeColor="background1" w:themeShade="D9"/>
              <w:bottom w:val="single" w:sz="8" w:space="0" w:color="BCBEC0"/>
            </w:tcBorders>
          </w:tcPr>
          <w:p w14:paraId="157FF5ED" w14:textId="77777777" w:rsidR="00B22D13" w:rsidRPr="00B22D13" w:rsidRDefault="00B22D13" w:rsidP="00B22D13">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lastRenderedPageBreak/>
              <w:t>Prepare and review project scope and business cases for projects with multiple interdependencies</w:t>
            </w:r>
            <w:r w:rsidRPr="00B22D13">
              <w:rPr>
                <w:rFonts w:ascii="Arial" w:hAnsi="Arial" w:cs="Arial"/>
                <w:sz w:val="20"/>
                <w:szCs w:val="20"/>
              </w:rPr>
              <w:tab/>
            </w:r>
          </w:p>
          <w:p w14:paraId="47041545" w14:textId="77777777" w:rsidR="00B22D13" w:rsidRPr="00B22D13" w:rsidRDefault="00B22D13" w:rsidP="00B22D13">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Access key subject-matter experts’ knowledge to inform project plans and directions</w:t>
            </w:r>
            <w:r w:rsidRPr="00B22D13">
              <w:rPr>
                <w:rFonts w:ascii="Arial" w:hAnsi="Arial" w:cs="Arial"/>
                <w:sz w:val="20"/>
                <w:szCs w:val="20"/>
              </w:rPr>
              <w:tab/>
            </w:r>
          </w:p>
          <w:p w14:paraId="52C53639"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lastRenderedPageBreak/>
              <w:t>Design and implement effective stakeholder engagement and communications strategies for all project stages</w:t>
            </w:r>
            <w:r w:rsidRPr="00B22D13">
              <w:rPr>
                <w:rFonts w:ascii="Arial" w:hAnsi="Arial" w:cs="Arial"/>
                <w:sz w:val="20"/>
                <w:szCs w:val="20"/>
              </w:rPr>
              <w:tab/>
            </w:r>
          </w:p>
          <w:p w14:paraId="63D673F9"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Monitor project completion and implement effective and rigorous project evaluation methodologies to inform future planning</w:t>
            </w:r>
            <w:r w:rsidRPr="00B22D13">
              <w:rPr>
                <w:rFonts w:ascii="Arial" w:hAnsi="Arial" w:cs="Arial"/>
                <w:sz w:val="20"/>
                <w:szCs w:val="20"/>
              </w:rPr>
              <w:tab/>
            </w:r>
          </w:p>
          <w:p w14:paraId="7E6BFDEB" w14:textId="0FF92393"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Develop effective strategies to remedy variances from project plans and minimise impact</w:t>
            </w:r>
            <w:r w:rsidRPr="00B22D13">
              <w:rPr>
                <w:rFonts w:ascii="Arial" w:hAnsi="Arial" w:cs="Arial"/>
                <w:sz w:val="20"/>
                <w:szCs w:val="20"/>
              </w:rPr>
              <w:tab/>
            </w:r>
          </w:p>
          <w:p w14:paraId="76D9A878" w14:textId="77777777" w:rsidR="00B22D13" w:rsidRPr="00B22D13"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2D13">
              <w:rPr>
                <w:rFonts w:ascii="Arial" w:hAnsi="Arial" w:cs="Arial"/>
                <w:sz w:val="20"/>
                <w:szCs w:val="20"/>
              </w:rPr>
              <w:t>Manage transitions between project stages and ensure that changes are consistent with organisational goals</w:t>
            </w:r>
            <w:r w:rsidRPr="00B22D13">
              <w:rPr>
                <w:rFonts w:ascii="Arial" w:hAnsi="Arial" w:cs="Arial"/>
                <w:sz w:val="20"/>
                <w:szCs w:val="20"/>
              </w:rPr>
              <w:tab/>
            </w:r>
          </w:p>
          <w:p w14:paraId="2B30150B" w14:textId="352C12CA" w:rsidR="00B22D13" w:rsidRPr="00DB7774" w:rsidRDefault="00B22D13" w:rsidP="00B22D13">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rPr>
            </w:pPr>
            <w:r w:rsidRPr="00B22D13">
              <w:rPr>
                <w:rFonts w:ascii="Arial" w:hAnsi="Arial" w:cs="Arial"/>
                <w:sz w:val="20"/>
                <w:szCs w:val="20"/>
              </w:rPr>
              <w:t>Participate in governance processes such as project steering groups</w:t>
            </w:r>
          </w:p>
        </w:tc>
        <w:tc>
          <w:tcPr>
            <w:tcW w:w="1315" w:type="dxa"/>
            <w:tcBorders>
              <w:top w:val="single" w:sz="8" w:space="0" w:color="D9D9D9" w:themeColor="background1" w:themeShade="D9"/>
              <w:bottom w:val="single" w:sz="8" w:space="0" w:color="BCBEC0"/>
              <w:right w:val="single" w:sz="8" w:space="0" w:color="FFFFFF" w:themeColor="background1"/>
            </w:tcBorders>
          </w:tcPr>
          <w:p w14:paraId="6EA4119F" w14:textId="1726C55C" w:rsidR="00B22D13" w:rsidRPr="00DB7774" w:rsidRDefault="00CA7508" w:rsidP="00DB7774">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B22D13">
              <w:rPr>
                <w:rFonts w:ascii="Arial" w:hAnsi="Arial" w:cs="Arial"/>
                <w:sz w:val="20"/>
                <w:szCs w:val="20"/>
              </w:rPr>
              <w:lastRenderedPageBreak/>
              <w:t>A</w:t>
            </w:r>
            <w:r>
              <w:rPr>
                <w:rFonts w:ascii="Arial" w:hAnsi="Arial" w:cs="Arial"/>
                <w:sz w:val="20"/>
                <w:szCs w:val="20"/>
              </w:rPr>
              <w:t>dvanced</w:t>
            </w:r>
          </w:p>
        </w:tc>
      </w:tr>
    </w:tbl>
    <w:p w14:paraId="708C073F" w14:textId="3244DCF3"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7"/>
        <w:gridCol w:w="5984"/>
        <w:gridCol w:w="1307"/>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F31AE4">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7"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84"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F31AE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683218DF" w14:textId="1967C858" w:rsidR="00F31AE4" w:rsidRPr="00F31AE4" w:rsidRDefault="00F31AE4" w:rsidP="00DB7774">
            <w:pPr>
              <w:spacing w:before="120" w:line="276" w:lineRule="auto"/>
              <w:rPr>
                <w:rFonts w:ascii="Arial" w:hAnsi="Arial" w:cs="Arial"/>
                <w:noProof/>
                <w:sz w:val="20"/>
                <w:szCs w:val="20"/>
              </w:rPr>
            </w:pPr>
            <w:r w:rsidRPr="00F31AE4">
              <w:rPr>
                <w:rFonts w:ascii="Arial" w:hAnsi="Arial" w:cs="Arial"/>
                <w:noProof/>
                <w:sz w:val="20"/>
                <w:szCs w:val="20"/>
              </w:rPr>
              <w:t>Change management</w:t>
            </w:r>
          </w:p>
          <w:p w14:paraId="7919DCD4" w14:textId="4A16CFE3" w:rsidR="00847160" w:rsidRPr="00DB7774" w:rsidRDefault="00847160"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7" w:type="dxa"/>
            <w:tcBorders>
              <w:top w:val="single" w:sz="18" w:space="0" w:color="auto"/>
              <w:bottom w:val="single" w:sz="8" w:space="0" w:color="D9D9D9" w:themeColor="background1" w:themeShade="D9"/>
            </w:tcBorders>
          </w:tcPr>
          <w:p w14:paraId="3A61035A" w14:textId="77777777" w:rsidR="00F31AE4" w:rsidRDefault="00F31AE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Delivery and operation</w:t>
            </w:r>
            <w:r w:rsidRPr="00F31AE4">
              <w:rPr>
                <w:rFonts w:ascii="Arial" w:hAnsi="Arial" w:cs="Arial"/>
                <w:sz w:val="20"/>
                <w:szCs w:val="20"/>
              </w:rPr>
              <w:tab/>
            </w:r>
          </w:p>
          <w:p w14:paraId="70399EDC" w14:textId="5D37A27A" w:rsidR="00847160" w:rsidRPr="00DB7774" w:rsidRDefault="00F31AE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Service transition</w:t>
            </w:r>
          </w:p>
        </w:tc>
        <w:tc>
          <w:tcPr>
            <w:tcW w:w="5984" w:type="dxa"/>
            <w:tcBorders>
              <w:top w:val="single" w:sz="18" w:space="0" w:color="auto"/>
              <w:bottom w:val="single" w:sz="8" w:space="0" w:color="D9D9D9" w:themeColor="background1" w:themeShade="D9"/>
            </w:tcBorders>
          </w:tcPr>
          <w:p w14:paraId="016DD77F" w14:textId="77777777" w:rsidR="00F31AE4" w:rsidRDefault="00F31AE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Develops implementation plans for complex requests for change. </w:t>
            </w:r>
          </w:p>
          <w:p w14:paraId="4BE1B126" w14:textId="77777777" w:rsidR="00F31AE4" w:rsidRDefault="00F31AE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Evaluates risks to the integrity of service environment inherent in proposed implementations (including availability, performance, </w:t>
            </w:r>
            <w:proofErr w:type="gramStart"/>
            <w:r w:rsidRPr="00F31AE4">
              <w:rPr>
                <w:rFonts w:ascii="Arial" w:hAnsi="Arial" w:cs="Arial"/>
                <w:sz w:val="20"/>
                <w:szCs w:val="20"/>
              </w:rPr>
              <w:t>security</w:t>
            </w:r>
            <w:proofErr w:type="gramEnd"/>
            <w:r w:rsidRPr="00F31AE4">
              <w:rPr>
                <w:rFonts w:ascii="Arial" w:hAnsi="Arial" w:cs="Arial"/>
                <w:sz w:val="20"/>
                <w:szCs w:val="20"/>
              </w:rPr>
              <w:t xml:space="preserve"> and compliance of the business services impacted). </w:t>
            </w:r>
          </w:p>
          <w:p w14:paraId="72821956" w14:textId="77777777" w:rsidR="00F31AE4" w:rsidRDefault="00F31AE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Seeks authority for those activities, reviews the effectiveness of change implementation, suggests improvement to organisational procedures governing change management. </w:t>
            </w:r>
          </w:p>
          <w:p w14:paraId="6D9042D9" w14:textId="2C55CC0F" w:rsidR="00847160" w:rsidRPr="00DB7774" w:rsidRDefault="00F31AE4"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Leads the assessment, analysis, development, </w:t>
            </w:r>
            <w:proofErr w:type="gramStart"/>
            <w:r w:rsidRPr="00F31AE4">
              <w:rPr>
                <w:rFonts w:ascii="Arial" w:hAnsi="Arial" w:cs="Arial"/>
                <w:sz w:val="20"/>
                <w:szCs w:val="20"/>
              </w:rPr>
              <w:t>documentation</w:t>
            </w:r>
            <w:proofErr w:type="gramEnd"/>
            <w:r w:rsidRPr="00F31AE4">
              <w:rPr>
                <w:rFonts w:ascii="Arial" w:hAnsi="Arial" w:cs="Arial"/>
                <w:sz w:val="20"/>
                <w:szCs w:val="20"/>
              </w:rPr>
              <w:t xml:space="preserve"> and implementation of changes based on requests for change.</w:t>
            </w:r>
          </w:p>
        </w:tc>
        <w:tc>
          <w:tcPr>
            <w:tcW w:w="1307" w:type="dxa"/>
            <w:tcBorders>
              <w:top w:val="single" w:sz="18" w:space="0" w:color="auto"/>
              <w:bottom w:val="single" w:sz="8" w:space="0" w:color="D9D9D9" w:themeColor="background1" w:themeShade="D9"/>
              <w:right w:val="single" w:sz="8" w:space="0" w:color="FFFFFF" w:themeColor="background1"/>
            </w:tcBorders>
          </w:tcPr>
          <w:p w14:paraId="7743FB38" w14:textId="77777777" w:rsidR="00847160" w:rsidRDefault="00B22D1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CHMG</w:t>
            </w:r>
          </w:p>
          <w:p w14:paraId="52617272" w14:textId="58880FE7" w:rsidR="00B22D13" w:rsidRPr="00DB7774" w:rsidRDefault="00B22D13"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239DA07C" w14:textId="77777777" w:rsidTr="00F31AE4">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0642AA5D" w14:textId="77777777" w:rsidR="00847160" w:rsidRDefault="00F31AE4" w:rsidP="00DB7774">
            <w:pPr>
              <w:spacing w:before="120" w:line="276" w:lineRule="auto"/>
              <w:rPr>
                <w:rFonts w:ascii="Arial" w:hAnsi="Arial" w:cs="Arial"/>
                <w:b w:val="0"/>
                <w:bCs w:val="0"/>
                <w:noProof/>
                <w:sz w:val="20"/>
                <w:szCs w:val="20"/>
              </w:rPr>
            </w:pPr>
            <w:r w:rsidRPr="00F31AE4">
              <w:rPr>
                <w:rFonts w:ascii="Arial" w:hAnsi="Arial" w:cs="Arial"/>
                <w:noProof/>
                <w:sz w:val="20"/>
                <w:szCs w:val="20"/>
              </w:rPr>
              <w:t>Change implementation planning and management</w:t>
            </w:r>
          </w:p>
          <w:p w14:paraId="15AF522F" w14:textId="468E565A" w:rsidR="00F31AE4" w:rsidRPr="00DB7774" w:rsidRDefault="00F31AE4"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5D9386BF" wp14:editId="7FA5353C">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7" w:type="dxa"/>
            <w:tcBorders>
              <w:top w:val="single" w:sz="8" w:space="0" w:color="D9D9D9" w:themeColor="background1" w:themeShade="D9"/>
              <w:bottom w:val="single" w:sz="8" w:space="0" w:color="D9D9D9" w:themeColor="background1" w:themeShade="D9"/>
            </w:tcBorders>
          </w:tcPr>
          <w:p w14:paraId="5100027E" w14:textId="77777777" w:rsidR="00F31AE4" w:rsidRDefault="00F31AE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Change and transformation</w:t>
            </w:r>
            <w:r w:rsidRPr="00F31AE4">
              <w:rPr>
                <w:rFonts w:ascii="Arial" w:hAnsi="Arial" w:cs="Arial"/>
                <w:sz w:val="20"/>
                <w:szCs w:val="20"/>
              </w:rPr>
              <w:tab/>
            </w:r>
          </w:p>
          <w:p w14:paraId="01F086C1" w14:textId="0D1DF300" w:rsidR="00847160" w:rsidRPr="00DB7774" w:rsidRDefault="00F31AE4"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Business change management</w:t>
            </w:r>
          </w:p>
        </w:tc>
        <w:tc>
          <w:tcPr>
            <w:tcW w:w="5984" w:type="dxa"/>
            <w:tcBorders>
              <w:top w:val="single" w:sz="8" w:space="0" w:color="D9D9D9" w:themeColor="background1" w:themeShade="D9"/>
              <w:bottom w:val="single" w:sz="8" w:space="0" w:color="D9D9D9" w:themeColor="background1" w:themeShade="D9"/>
            </w:tcBorders>
          </w:tcPr>
          <w:p w14:paraId="125254D0" w14:textId="77777777" w:rsidR="00F31AE4" w:rsidRDefault="00F31AE4" w:rsidP="00F31AE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Creates the business readiness plan, taking into consideration IT deployment, data migration, capability deployment (training and engagement activities) and any business activities required to integrate new digital processes or jobs into the "business as usual" environment. </w:t>
            </w:r>
          </w:p>
          <w:p w14:paraId="536FCBED" w14:textId="77777777" w:rsidR="00F31AE4" w:rsidRDefault="00F31AE4" w:rsidP="00F31AE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Determines the readiness levels of business users </w:t>
            </w:r>
            <w:proofErr w:type="gramStart"/>
            <w:r w:rsidRPr="00F31AE4">
              <w:rPr>
                <w:rFonts w:ascii="Arial" w:hAnsi="Arial" w:cs="Arial"/>
                <w:sz w:val="20"/>
                <w:szCs w:val="20"/>
              </w:rPr>
              <w:t>with regard to</w:t>
            </w:r>
            <w:proofErr w:type="gramEnd"/>
            <w:r w:rsidRPr="00F31AE4">
              <w:rPr>
                <w:rFonts w:ascii="Arial" w:hAnsi="Arial" w:cs="Arial"/>
                <w:sz w:val="20"/>
                <w:szCs w:val="20"/>
              </w:rPr>
              <w:t xml:space="preserve"> upcoming changes; uncovers readiness gaps and creates and implements action plans to close the gaps prior to going live.</w:t>
            </w:r>
          </w:p>
          <w:p w14:paraId="2A35F4DC" w14:textId="77777777" w:rsidR="00F31AE4" w:rsidRDefault="00F31AE4" w:rsidP="00F31AE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 Assists the user community in the provision of transition support and change </w:t>
            </w:r>
            <w:proofErr w:type="gramStart"/>
            <w:r w:rsidRPr="00F31AE4">
              <w:rPr>
                <w:rFonts w:ascii="Arial" w:hAnsi="Arial" w:cs="Arial"/>
                <w:sz w:val="20"/>
                <w:szCs w:val="20"/>
              </w:rPr>
              <w:t>planning, and</w:t>
            </w:r>
            <w:proofErr w:type="gramEnd"/>
            <w:r w:rsidRPr="00F31AE4">
              <w:rPr>
                <w:rFonts w:ascii="Arial" w:hAnsi="Arial" w:cs="Arial"/>
                <w:sz w:val="20"/>
                <w:szCs w:val="20"/>
              </w:rPr>
              <w:t xml:space="preserve"> liaises with the project team. </w:t>
            </w:r>
          </w:p>
          <w:p w14:paraId="4D44634A" w14:textId="77777777" w:rsidR="00F31AE4" w:rsidRDefault="00F31AE4" w:rsidP="00F31AE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Monitors and reports progress on business readiness targets, business engagement activity, training design and deployment activities, key operational metrics and return to productivity measures. </w:t>
            </w:r>
          </w:p>
          <w:p w14:paraId="036E5E01" w14:textId="72FF7550" w:rsidR="00847160" w:rsidRPr="00DB7774" w:rsidRDefault="00F31AE4" w:rsidP="00DB7774">
            <w:pPr>
              <w:pStyle w:val="ListParagraph"/>
              <w:numPr>
                <w:ilvl w:val="0"/>
                <w:numId w:val="13"/>
              </w:numPr>
              <w:tabs>
                <w:tab w:val="num" w:pos="360"/>
              </w:tabs>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lastRenderedPageBreak/>
              <w:t>Defines the series and sequence of activities to bring stakeholders to the required level of commitment, prior to going live.</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E2253D0" w14:textId="77777777" w:rsidR="00847160" w:rsidRDefault="00B22D1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CIPM</w:t>
            </w:r>
          </w:p>
          <w:p w14:paraId="3C18EF35" w14:textId="2A70BB90" w:rsidR="00B22D13" w:rsidRPr="00DB7774" w:rsidRDefault="00B22D13"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bl>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9"/>
        <w:gridCol w:w="1886"/>
        <w:gridCol w:w="5805"/>
        <w:gridCol w:w="1328"/>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F31AE4">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9"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86"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805"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28"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F31AE4" w14:paraId="3DBA0899" w14:textId="77777777" w:rsidTr="00F31AE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18" w:space="0" w:color="auto"/>
              <w:left w:val="single" w:sz="8" w:space="0" w:color="FFFFFF" w:themeColor="background1"/>
            </w:tcBorders>
          </w:tcPr>
          <w:p w14:paraId="0483D049" w14:textId="2F7426A3" w:rsidR="00F31AE4" w:rsidRPr="00DB7774" w:rsidRDefault="00F31AE4" w:rsidP="00DB7774">
            <w:pPr>
              <w:spacing w:before="120" w:line="276" w:lineRule="auto"/>
              <w:rPr>
                <w:rFonts w:ascii="Arial" w:hAnsi="Arial" w:cs="Arial"/>
                <w:sz w:val="20"/>
                <w:szCs w:val="20"/>
              </w:rPr>
            </w:pPr>
            <w:r w:rsidRPr="00C978B9">
              <w:rPr>
                <w:noProof/>
                <w:lang w:eastAsia="en-AU"/>
              </w:rPr>
              <w:drawing>
                <wp:inline distT="0" distB="0" distL="0" distR="0" wp14:anchorId="15FB09F8" wp14:editId="5ABA1EE6">
                  <wp:extent cx="848995" cy="848995"/>
                  <wp:effectExtent l="0" t="0" r="8255" b="8255"/>
                  <wp:docPr id="7"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86" w:type="dxa"/>
            <w:tcBorders>
              <w:top w:val="single" w:sz="18" w:space="0" w:color="auto"/>
              <w:bottom w:val="single" w:sz="8" w:space="0" w:color="D9D9D9" w:themeColor="background1" w:themeShade="D9"/>
            </w:tcBorders>
          </w:tcPr>
          <w:p w14:paraId="4FDA345F" w14:textId="5E2E042D" w:rsidR="00F31AE4" w:rsidRPr="00DB7774" w:rsidRDefault="00F31AE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Display Resilience and Courage</w:t>
            </w:r>
            <w:r w:rsidRPr="00F31AE4">
              <w:rPr>
                <w:rFonts w:ascii="Arial" w:hAnsi="Arial" w:cs="Arial"/>
                <w:sz w:val="20"/>
                <w:szCs w:val="20"/>
              </w:rPr>
              <w:tab/>
            </w:r>
          </w:p>
        </w:tc>
        <w:tc>
          <w:tcPr>
            <w:tcW w:w="5805" w:type="dxa"/>
            <w:tcBorders>
              <w:top w:val="single" w:sz="18" w:space="0" w:color="auto"/>
              <w:bottom w:val="single" w:sz="8" w:space="0" w:color="D9D9D9" w:themeColor="background1" w:themeShade="D9"/>
            </w:tcBorders>
          </w:tcPr>
          <w:p w14:paraId="0117EEAB" w14:textId="266315B4" w:rsidR="00F31AE4" w:rsidRPr="00DB7774" w:rsidRDefault="00F31AE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Be open and honest, prepared to express your views, and willing to accept and commit to change</w:t>
            </w:r>
          </w:p>
        </w:tc>
        <w:tc>
          <w:tcPr>
            <w:tcW w:w="1328" w:type="dxa"/>
            <w:tcBorders>
              <w:top w:val="single" w:sz="18" w:space="0" w:color="auto"/>
              <w:bottom w:val="single" w:sz="8" w:space="0" w:color="D9D9D9" w:themeColor="background1" w:themeShade="D9"/>
              <w:right w:val="single" w:sz="8" w:space="0" w:color="FFFFFF" w:themeColor="background1"/>
            </w:tcBorders>
          </w:tcPr>
          <w:p w14:paraId="0E2BB48C" w14:textId="075CAE90" w:rsidR="00F31AE4" w:rsidRPr="00DB7774" w:rsidRDefault="00F31AE4"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F31AE4" w14:paraId="686717D3" w14:textId="77777777" w:rsidTr="00F31AE4">
        <w:trPr>
          <w:trHeight w:val="16"/>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tcBorders>
          </w:tcPr>
          <w:p w14:paraId="24E89B3B" w14:textId="77777777" w:rsidR="00F31AE4" w:rsidRPr="00DB7774" w:rsidRDefault="00F31AE4" w:rsidP="00F31AE4">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0A97E6BA" w14:textId="46CE957E" w:rsidR="00F31AE4" w:rsidRPr="00DB7774" w:rsidRDefault="00F31AE4" w:rsidP="00F31AE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Act with Integrity</w:t>
            </w:r>
          </w:p>
        </w:tc>
        <w:tc>
          <w:tcPr>
            <w:tcW w:w="5805" w:type="dxa"/>
            <w:tcBorders>
              <w:top w:val="single" w:sz="8" w:space="0" w:color="D9D9D9" w:themeColor="background1" w:themeShade="D9"/>
              <w:bottom w:val="single" w:sz="8" w:space="0" w:color="D9D9D9" w:themeColor="background1" w:themeShade="D9"/>
            </w:tcBorders>
          </w:tcPr>
          <w:p w14:paraId="007B1B35" w14:textId="7E49DDF5" w:rsidR="00F31AE4" w:rsidRPr="00DB7774" w:rsidRDefault="00F31AE4" w:rsidP="00F31AE4">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Be ethical and professional, and uphold and promote the public sector values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70E85215" w:rsidR="00F31AE4" w:rsidRPr="00DB7774" w:rsidRDefault="00F31AE4" w:rsidP="00F31AE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F31AE4" w14:paraId="6FE64900" w14:textId="77777777" w:rsidTr="00F31AE4">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tcBorders>
          </w:tcPr>
          <w:p w14:paraId="0FB47306" w14:textId="77777777" w:rsidR="00F31AE4" w:rsidRPr="00DB7774" w:rsidRDefault="00F31AE4" w:rsidP="00F31AE4">
            <w:pPr>
              <w:spacing w:before="120"/>
              <w:rPr>
                <w:rFonts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18AD5E7C" w14:textId="4078F71A" w:rsidR="00F31AE4" w:rsidRPr="00F31AE4" w:rsidRDefault="00F31AE4" w:rsidP="00F31AE4">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Value Diversity and Inclusion</w:t>
            </w:r>
          </w:p>
        </w:tc>
        <w:tc>
          <w:tcPr>
            <w:tcW w:w="5805" w:type="dxa"/>
            <w:tcBorders>
              <w:top w:val="single" w:sz="8" w:space="0" w:color="D9D9D9" w:themeColor="background1" w:themeShade="D9"/>
              <w:bottom w:val="single" w:sz="8" w:space="0" w:color="D9D9D9" w:themeColor="background1" w:themeShade="D9"/>
            </w:tcBorders>
          </w:tcPr>
          <w:p w14:paraId="4E0E8274" w14:textId="7BAC88D1" w:rsidR="00F31AE4" w:rsidRPr="00F31AE4" w:rsidRDefault="00F31AE4" w:rsidP="00F31AE4">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 xml:space="preserve">Demonstrate inclusive behaviour and show respect for diverse backgrounds, </w:t>
            </w:r>
            <w:proofErr w:type="gramStart"/>
            <w:r w:rsidRPr="00F31AE4">
              <w:rPr>
                <w:rFonts w:ascii="Arial" w:hAnsi="Arial" w:cs="Arial"/>
                <w:sz w:val="20"/>
                <w:szCs w:val="20"/>
              </w:rPr>
              <w:t>experiences</w:t>
            </w:r>
            <w:proofErr w:type="gramEnd"/>
            <w:r w:rsidRPr="00F31AE4">
              <w:rPr>
                <w:rFonts w:ascii="Arial" w:hAnsi="Arial" w:cs="Arial"/>
                <w:sz w:val="20"/>
                <w:szCs w:val="20"/>
              </w:rPr>
              <w:t xml:space="preserve"> and perspectives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DAF79F4" w14:textId="6CE93209" w:rsidR="00F31AE4" w:rsidRPr="00F31AE4" w:rsidRDefault="00F31AE4" w:rsidP="00F31AE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Intermediate</w:t>
            </w:r>
          </w:p>
        </w:tc>
      </w:tr>
      <w:tr w:rsidR="00554917" w14:paraId="2E40E26E" w14:textId="77777777" w:rsidTr="00F31AE4">
        <w:trPr>
          <w:trHeight w:val="13"/>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8" w:space="0" w:color="D9D9D9" w:themeColor="background1" w:themeShade="D9"/>
              <w:left w:val="single" w:sz="8" w:space="0" w:color="FFFFFF" w:themeColor="background1"/>
            </w:tcBorders>
          </w:tcPr>
          <w:p w14:paraId="5609DC85" w14:textId="7F8EC826" w:rsidR="00554917" w:rsidRPr="00DB7774" w:rsidRDefault="00554917" w:rsidP="00F31AE4">
            <w:pPr>
              <w:spacing w:before="120" w:line="276" w:lineRule="auto"/>
              <w:rPr>
                <w:rFonts w:ascii="Arial" w:hAnsi="Arial" w:cs="Arial"/>
                <w:sz w:val="20"/>
                <w:szCs w:val="20"/>
              </w:rPr>
            </w:pPr>
            <w:r w:rsidRPr="00C978B9">
              <w:rPr>
                <w:noProof/>
                <w:lang w:eastAsia="en-AU"/>
              </w:rPr>
              <w:drawing>
                <wp:inline distT="0" distB="0" distL="0" distR="0" wp14:anchorId="23A144A8" wp14:editId="7CD39567">
                  <wp:extent cx="854016" cy="854016"/>
                  <wp:effectExtent l="0" t="0" r="3810" b="3810"/>
                  <wp:docPr id="8"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86" w:type="dxa"/>
            <w:tcBorders>
              <w:top w:val="single" w:sz="8" w:space="0" w:color="D9D9D9" w:themeColor="background1" w:themeShade="D9"/>
              <w:bottom w:val="single" w:sz="8" w:space="0" w:color="D9D9D9" w:themeColor="background1" w:themeShade="D9"/>
            </w:tcBorders>
          </w:tcPr>
          <w:p w14:paraId="535DBAD3" w14:textId="109522F7" w:rsidR="00554917" w:rsidRPr="00DB7774" w:rsidRDefault="00554917" w:rsidP="00F31AE4">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Commit to Customer Service</w:t>
            </w:r>
          </w:p>
        </w:tc>
        <w:tc>
          <w:tcPr>
            <w:tcW w:w="5805" w:type="dxa"/>
            <w:tcBorders>
              <w:top w:val="single" w:sz="8" w:space="0" w:color="D9D9D9" w:themeColor="background1" w:themeShade="D9"/>
              <w:bottom w:val="single" w:sz="8" w:space="0" w:color="D9D9D9" w:themeColor="background1" w:themeShade="D9"/>
            </w:tcBorders>
          </w:tcPr>
          <w:p w14:paraId="4DD508B1" w14:textId="592CBF2F" w:rsidR="00554917" w:rsidRPr="00DB7774" w:rsidRDefault="00554917" w:rsidP="00F31AE4">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Provide customer-focused services in line with public sector and organisational objectives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19F4CAFA" w:rsidR="00554917" w:rsidRPr="00DB7774" w:rsidRDefault="00554917" w:rsidP="00F31AE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Intermediate</w:t>
            </w:r>
          </w:p>
        </w:tc>
      </w:tr>
      <w:tr w:rsidR="00554917" w14:paraId="1870CCC1" w14:textId="77777777" w:rsidTr="00CA676F">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tcBorders>
          </w:tcPr>
          <w:p w14:paraId="0A3B5B33" w14:textId="77777777" w:rsidR="00554917" w:rsidRPr="00DB7774" w:rsidRDefault="00554917" w:rsidP="00F31AE4">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22266C36" w14:textId="773801B5" w:rsidR="00554917" w:rsidRPr="00DB7774" w:rsidRDefault="00554917" w:rsidP="00F31AE4">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1AE4">
              <w:rPr>
                <w:rFonts w:ascii="Arial" w:hAnsi="Arial" w:cs="Arial"/>
                <w:sz w:val="20"/>
                <w:szCs w:val="20"/>
              </w:rPr>
              <w:t>Work Collaboratively</w:t>
            </w:r>
          </w:p>
        </w:tc>
        <w:tc>
          <w:tcPr>
            <w:tcW w:w="5805" w:type="dxa"/>
            <w:tcBorders>
              <w:top w:val="single" w:sz="8" w:space="0" w:color="D9D9D9" w:themeColor="background1" w:themeShade="D9"/>
              <w:bottom w:val="single" w:sz="8" w:space="0" w:color="D9D9D9" w:themeColor="background1" w:themeShade="D9"/>
            </w:tcBorders>
          </w:tcPr>
          <w:p w14:paraId="37122A0C" w14:textId="1D00F830" w:rsidR="00554917" w:rsidRPr="00DB7774" w:rsidRDefault="00554917" w:rsidP="00F31AE4">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F31AE4">
              <w:rPr>
                <w:rFonts w:cs="Arial"/>
              </w:rPr>
              <w:t>Collaborate with others and value their contribution</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0E55004D" w:rsidR="00554917" w:rsidRPr="00DB7774" w:rsidRDefault="00554917" w:rsidP="00F31AE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554917" w14:paraId="50D07CEB" w14:textId="77777777" w:rsidTr="00554917">
        <w:trPr>
          <w:trHeight w:val="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4" w:space="0" w:color="D9D9D9"/>
            </w:tcBorders>
          </w:tcPr>
          <w:p w14:paraId="561AECFA" w14:textId="77777777" w:rsidR="00554917" w:rsidRPr="00DB7774" w:rsidRDefault="00554917" w:rsidP="00F31AE4">
            <w:pPr>
              <w:spacing w:before="120" w:line="276" w:lineRule="auto"/>
              <w:rPr>
                <w:rFonts w:ascii="Arial" w:hAnsi="Arial" w:cs="Arial"/>
                <w:sz w:val="20"/>
                <w:szCs w:val="20"/>
              </w:rPr>
            </w:pPr>
          </w:p>
        </w:tc>
        <w:tc>
          <w:tcPr>
            <w:tcW w:w="1886" w:type="dxa"/>
            <w:tcBorders>
              <w:top w:val="single" w:sz="8" w:space="0" w:color="D9D9D9" w:themeColor="background1" w:themeShade="D9"/>
              <w:bottom w:val="single" w:sz="8" w:space="0" w:color="D9D9D9" w:themeColor="background1" w:themeShade="D9"/>
            </w:tcBorders>
          </w:tcPr>
          <w:p w14:paraId="620211AE" w14:textId="1FEA92D5" w:rsidR="00554917" w:rsidRPr="00DB7774" w:rsidRDefault="00554917" w:rsidP="00F31AE4">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AE4">
              <w:rPr>
                <w:rFonts w:ascii="Arial" w:hAnsi="Arial" w:cs="Arial"/>
                <w:sz w:val="20"/>
                <w:szCs w:val="20"/>
              </w:rPr>
              <w:t>Influence and Negotiate</w:t>
            </w:r>
          </w:p>
        </w:tc>
        <w:tc>
          <w:tcPr>
            <w:tcW w:w="5805" w:type="dxa"/>
            <w:tcBorders>
              <w:top w:val="single" w:sz="8" w:space="0" w:color="D9D9D9" w:themeColor="background1" w:themeShade="D9"/>
              <w:bottom w:val="single" w:sz="8" w:space="0" w:color="D9D9D9" w:themeColor="background1" w:themeShade="D9"/>
            </w:tcBorders>
          </w:tcPr>
          <w:p w14:paraId="046D2F69" w14:textId="050FBE83" w:rsidR="00554917" w:rsidRPr="00DB7774" w:rsidRDefault="00554917" w:rsidP="00F31AE4">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F31AE4">
              <w:rPr>
                <w:rFonts w:cs="Arial"/>
              </w:rPr>
              <w:t>Gain consensus and commitment from others, and resolve issues and conflicts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5686D326" w:rsidR="00554917" w:rsidRPr="00DB7774" w:rsidRDefault="00554917" w:rsidP="00F31AE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554917" w14:paraId="48FC513F" w14:textId="77777777" w:rsidTr="0055491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D9D9D9"/>
              <w:left w:val="single" w:sz="8" w:space="0" w:color="FFFFFF" w:themeColor="background1"/>
              <w:bottom w:val="single" w:sz="4" w:space="0" w:color="D9D9D9" w:themeColor="background1" w:themeShade="D9"/>
            </w:tcBorders>
          </w:tcPr>
          <w:p w14:paraId="1B22854C" w14:textId="6C57C6DD" w:rsidR="00554917" w:rsidRPr="00DB7774" w:rsidRDefault="00554917" w:rsidP="00554917">
            <w:pPr>
              <w:spacing w:before="120" w:line="276" w:lineRule="auto"/>
              <w:rPr>
                <w:rFonts w:ascii="Arial" w:hAnsi="Arial" w:cs="Arial"/>
                <w:sz w:val="20"/>
                <w:szCs w:val="20"/>
              </w:rPr>
            </w:pPr>
            <w:r w:rsidRPr="00C978B9">
              <w:rPr>
                <w:noProof/>
                <w:lang w:eastAsia="en-AU"/>
              </w:rPr>
              <w:drawing>
                <wp:inline distT="0" distB="0" distL="0" distR="0" wp14:anchorId="7E74EF56" wp14:editId="670EBB8A">
                  <wp:extent cx="854015" cy="854015"/>
                  <wp:effectExtent l="0" t="0" r="3810" b="3810"/>
                  <wp:docPr id="9"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86" w:type="dxa"/>
            <w:tcBorders>
              <w:top w:val="single" w:sz="8" w:space="0" w:color="D9D9D9" w:themeColor="background1" w:themeShade="D9"/>
              <w:bottom w:val="single" w:sz="4" w:space="0" w:color="D9D9D9" w:themeColor="background1" w:themeShade="D9"/>
            </w:tcBorders>
          </w:tcPr>
          <w:p w14:paraId="166078CC" w14:textId="2C71ECDA" w:rsidR="00554917" w:rsidRPr="00DB7774" w:rsidRDefault="00554917" w:rsidP="00554917">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4917">
              <w:rPr>
                <w:rFonts w:ascii="Arial" w:hAnsi="Arial" w:cs="Arial"/>
                <w:sz w:val="20"/>
                <w:szCs w:val="20"/>
              </w:rPr>
              <w:t>Demonstrate Accountability</w:t>
            </w:r>
          </w:p>
        </w:tc>
        <w:tc>
          <w:tcPr>
            <w:tcW w:w="5805" w:type="dxa"/>
            <w:tcBorders>
              <w:top w:val="single" w:sz="8" w:space="0" w:color="D9D9D9" w:themeColor="background1" w:themeShade="D9"/>
              <w:bottom w:val="single" w:sz="8" w:space="0" w:color="D9D9D9" w:themeColor="background1" w:themeShade="D9"/>
            </w:tcBorders>
          </w:tcPr>
          <w:p w14:paraId="0E06E8D4" w14:textId="29982311" w:rsidR="00554917" w:rsidRPr="00DB7774" w:rsidRDefault="00554917" w:rsidP="00554917">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554917">
              <w:rPr>
                <w:rFonts w:cs="Arial"/>
              </w:rPr>
              <w:t xml:space="preserve">Be proactive and responsible for own actions, and adhere to legislation, </w:t>
            </w:r>
            <w:proofErr w:type="gramStart"/>
            <w:r w:rsidRPr="00554917">
              <w:rPr>
                <w:rFonts w:cs="Arial"/>
              </w:rPr>
              <w:t>policy</w:t>
            </w:r>
            <w:proofErr w:type="gramEnd"/>
            <w:r w:rsidRPr="00554917">
              <w:rPr>
                <w:rFonts w:cs="Arial"/>
              </w:rPr>
              <w:t xml:space="preserve"> and guidelines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5ACA62AA" w:rsidR="00554917" w:rsidRPr="00DB7774" w:rsidRDefault="00554917" w:rsidP="0055491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554917" w14:paraId="5534CF42" w14:textId="77777777" w:rsidTr="00554917">
        <w:trPr>
          <w:trHeight w:val="5"/>
        </w:trPr>
        <w:tc>
          <w:tcPr>
            <w:cnfStyle w:val="001000000000" w:firstRow="0" w:lastRow="0" w:firstColumn="1" w:lastColumn="0" w:oddVBand="0" w:evenVBand="0" w:oddHBand="0" w:evenHBand="0" w:firstRowFirstColumn="0" w:firstRowLastColumn="0" w:lastRowFirstColumn="0" w:lastRowLastColumn="0"/>
            <w:tcW w:w="1749" w:type="dxa"/>
            <w:vMerge w:val="restart"/>
            <w:tcBorders>
              <w:top w:val="single" w:sz="4" w:space="0" w:color="D9D9D9" w:themeColor="background1" w:themeShade="D9"/>
              <w:left w:val="single" w:sz="8" w:space="0" w:color="FFFFFF" w:themeColor="background1"/>
            </w:tcBorders>
          </w:tcPr>
          <w:p w14:paraId="279A694C" w14:textId="13406D74" w:rsidR="00554917" w:rsidRPr="00C978B9" w:rsidRDefault="00554917" w:rsidP="00554917">
            <w:pPr>
              <w:spacing w:before="120"/>
              <w:rPr>
                <w:noProof/>
                <w:lang w:eastAsia="en-AU"/>
              </w:rPr>
            </w:pPr>
            <w:r w:rsidRPr="00C978B9">
              <w:rPr>
                <w:noProof/>
                <w:lang w:eastAsia="en-AU"/>
              </w:rPr>
              <w:drawing>
                <wp:inline distT="0" distB="0" distL="0" distR="0" wp14:anchorId="29B3C2B3" wp14:editId="70411269">
                  <wp:extent cx="845388" cy="845388"/>
                  <wp:effectExtent l="0" t="0" r="0" b="0"/>
                  <wp:docPr id="10"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86" w:type="dxa"/>
            <w:tcBorders>
              <w:top w:val="single" w:sz="4" w:space="0" w:color="D9D9D9" w:themeColor="background1" w:themeShade="D9"/>
              <w:bottom w:val="single" w:sz="8" w:space="0" w:color="D9D9D9" w:themeColor="background1" w:themeShade="D9"/>
            </w:tcBorders>
          </w:tcPr>
          <w:p w14:paraId="69C65077" w14:textId="2B9477FF" w:rsidR="00554917" w:rsidRPr="00554917" w:rsidRDefault="00554917" w:rsidP="00554917">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610FF1">
              <w:t>Finance</w:t>
            </w:r>
          </w:p>
        </w:tc>
        <w:tc>
          <w:tcPr>
            <w:tcW w:w="5805" w:type="dxa"/>
            <w:tcBorders>
              <w:top w:val="single" w:sz="8" w:space="0" w:color="D9D9D9" w:themeColor="background1" w:themeShade="D9"/>
              <w:bottom w:val="single" w:sz="8" w:space="0" w:color="D9D9D9" w:themeColor="background1" w:themeShade="D9"/>
            </w:tcBorders>
          </w:tcPr>
          <w:p w14:paraId="7809C67C" w14:textId="79CC2E66" w:rsidR="00554917" w:rsidRPr="00554917" w:rsidRDefault="00554917" w:rsidP="00554917">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610FF1">
              <w:t>Understand and apply financial processes to achieve value for money and minimise financial risk</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2A107A69" w14:textId="121CE76F" w:rsidR="00554917" w:rsidRPr="00554917" w:rsidRDefault="00554917" w:rsidP="0055491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4917">
              <w:rPr>
                <w:rFonts w:ascii="Arial" w:hAnsi="Arial" w:cs="Arial"/>
                <w:sz w:val="20"/>
                <w:szCs w:val="20"/>
              </w:rPr>
              <w:t xml:space="preserve">Intermediate </w:t>
            </w:r>
          </w:p>
        </w:tc>
      </w:tr>
      <w:tr w:rsidR="00554917" w14:paraId="3470D073" w14:textId="77777777" w:rsidTr="00F31AE4">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9" w:type="dxa"/>
            <w:vMerge/>
            <w:tcBorders>
              <w:left w:val="single" w:sz="8" w:space="0" w:color="FFFFFF" w:themeColor="background1"/>
              <w:bottom w:val="single" w:sz="8" w:space="0" w:color="BCBEC0"/>
            </w:tcBorders>
          </w:tcPr>
          <w:p w14:paraId="3972A5A8" w14:textId="77777777" w:rsidR="00554917" w:rsidRPr="00C978B9" w:rsidRDefault="00554917" w:rsidP="00554917">
            <w:pPr>
              <w:pStyle w:val="TableBullet"/>
              <w:keepNext/>
              <w:keepLines/>
              <w:numPr>
                <w:ilvl w:val="0"/>
                <w:numId w:val="0"/>
              </w:numPr>
              <w:tabs>
                <w:tab w:val="num" w:pos="360"/>
              </w:tabs>
              <w:spacing w:before="120" w:line="276" w:lineRule="auto"/>
            </w:pPr>
          </w:p>
        </w:tc>
        <w:tc>
          <w:tcPr>
            <w:tcW w:w="1886" w:type="dxa"/>
            <w:tcBorders>
              <w:top w:val="single" w:sz="8" w:space="0" w:color="D9D9D9" w:themeColor="background1" w:themeShade="D9"/>
              <w:bottom w:val="single" w:sz="8" w:space="0" w:color="BCBEC0"/>
            </w:tcBorders>
          </w:tcPr>
          <w:p w14:paraId="7E49F9F7" w14:textId="7CB1DB63" w:rsidR="00554917" w:rsidRPr="00610FF1" w:rsidRDefault="00554917" w:rsidP="00554917">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pPr>
            <w:r w:rsidRPr="00554917">
              <w:t>Procurement and Contract Management</w:t>
            </w:r>
          </w:p>
        </w:tc>
        <w:tc>
          <w:tcPr>
            <w:tcW w:w="5805" w:type="dxa"/>
            <w:tcBorders>
              <w:top w:val="single" w:sz="8" w:space="0" w:color="D9D9D9" w:themeColor="background1" w:themeShade="D9"/>
              <w:bottom w:val="single" w:sz="8" w:space="0" w:color="BCBEC0"/>
            </w:tcBorders>
          </w:tcPr>
          <w:p w14:paraId="7707740F" w14:textId="4E3A61B8" w:rsidR="00554917" w:rsidRPr="00610FF1" w:rsidRDefault="00554917" w:rsidP="00554917">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pPr>
            <w:r w:rsidRPr="00554917">
              <w:t>Understand and apply procurement processes to ensure effective purchasing and contract performance</w:t>
            </w:r>
          </w:p>
        </w:tc>
        <w:tc>
          <w:tcPr>
            <w:tcW w:w="1328" w:type="dxa"/>
            <w:tcBorders>
              <w:top w:val="single" w:sz="8" w:space="0" w:color="D9D9D9" w:themeColor="background1" w:themeShade="D9"/>
              <w:bottom w:val="single" w:sz="8" w:space="0" w:color="BCBEC0"/>
              <w:right w:val="single" w:sz="8" w:space="0" w:color="FFFFFF" w:themeColor="background1"/>
            </w:tcBorders>
          </w:tcPr>
          <w:p w14:paraId="73FC630D" w14:textId="2810049B" w:rsidR="00554917" w:rsidRPr="00554917" w:rsidRDefault="00554917" w:rsidP="00554917">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pPr>
            <w:r w:rsidRPr="00554917">
              <w:rPr>
                <w:rFonts w:cs="Arial"/>
              </w:rPr>
              <w:t>Adept</w:t>
            </w:r>
          </w:p>
        </w:tc>
      </w:tr>
    </w:tbl>
    <w:p w14:paraId="2CE27CB6" w14:textId="77777777" w:rsidR="00847160" w:rsidRPr="00554917" w:rsidRDefault="00847160" w:rsidP="00554917">
      <w:pPr>
        <w:pStyle w:val="TableBullet"/>
        <w:keepNext/>
        <w:keepLines/>
        <w:numPr>
          <w:ilvl w:val="0"/>
          <w:numId w:val="0"/>
        </w:numPr>
        <w:tabs>
          <w:tab w:val="num" w:pos="360"/>
        </w:tabs>
        <w:spacing w:before="120" w:line="276" w:lineRule="auto"/>
      </w:pPr>
    </w:p>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10875" w:type="dxa"/>
        <w:tblLook w:val="04A0" w:firstRow="1" w:lastRow="0" w:firstColumn="1" w:lastColumn="0" w:noHBand="0" w:noVBand="1"/>
      </w:tblPr>
      <w:tblGrid>
        <w:gridCol w:w="2022"/>
        <w:gridCol w:w="1947"/>
        <w:gridCol w:w="5072"/>
        <w:gridCol w:w="1828"/>
        <w:gridCol w:w="6"/>
      </w:tblGrid>
      <w:tr w:rsidR="00313197" w:rsidRPr="00847160" w14:paraId="66FD3509" w14:textId="77777777" w:rsidTr="00931C7F">
        <w:trPr>
          <w:gridAfter w:val="1"/>
          <w:cnfStyle w:val="100000000000" w:firstRow="1" w:lastRow="0" w:firstColumn="0" w:lastColumn="0" w:oddVBand="0" w:evenVBand="0" w:oddHBand="0" w:evenHBand="0" w:firstRowFirstColumn="0" w:firstRowLastColumn="0" w:lastRowFirstColumn="0" w:lastRowLastColumn="0"/>
          <w:wAfter w:w="6" w:type="dxa"/>
          <w:trHeight w:val="476"/>
          <w:tblHeader/>
        </w:trPr>
        <w:tc>
          <w:tcPr>
            <w:tcW w:w="10869"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931C7F">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4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4"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931C7F">
        <w:trPr>
          <w:cantSplit/>
        </w:trPr>
        <w:tc>
          <w:tcPr>
            <w:tcW w:w="2022" w:type="dxa"/>
            <w:tcBorders>
              <w:top w:val="single" w:sz="18" w:space="0" w:color="auto"/>
            </w:tcBorders>
            <w:vAlign w:val="center"/>
          </w:tcPr>
          <w:p w14:paraId="60F27512" w14:textId="56BAB06B" w:rsidR="00F31AE4" w:rsidRPr="00F31AE4" w:rsidRDefault="00F31AE4" w:rsidP="00DB7774">
            <w:pPr>
              <w:pStyle w:val="TableTextWhite0"/>
              <w:keepNext/>
              <w:keepLines/>
              <w:spacing w:before="120" w:line="276" w:lineRule="auto"/>
              <w:rPr>
                <w:rFonts w:cs="Arial"/>
                <w:b w:val="0"/>
                <w:bCs/>
                <w:noProof/>
                <w:color w:val="auto"/>
              </w:rPr>
            </w:pPr>
            <w:r w:rsidRPr="00F31AE4">
              <w:rPr>
                <w:rFonts w:cs="Arial"/>
                <w:b w:val="0"/>
                <w:bCs/>
                <w:noProof/>
                <w:color w:val="auto"/>
              </w:rPr>
              <w:t>Release and deployment</w:t>
            </w:r>
          </w:p>
          <w:p w14:paraId="769C2633" w14:textId="30D7C6CD" w:rsidR="00923772" w:rsidRPr="00DB7774" w:rsidRDefault="00923772"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tcBorders>
              <w:top w:val="single" w:sz="18" w:space="0" w:color="auto"/>
            </w:tcBorders>
            <w:shd w:val="clear" w:color="auto" w:fill="auto"/>
          </w:tcPr>
          <w:p w14:paraId="2B973E9D" w14:textId="77777777" w:rsidR="00F31AE4" w:rsidRDefault="00F31AE4" w:rsidP="00DB7774">
            <w:pPr>
              <w:pStyle w:val="TableTextWhite0"/>
              <w:keepNext/>
              <w:keepLines/>
              <w:spacing w:before="120" w:line="276" w:lineRule="auto"/>
              <w:rPr>
                <w:rFonts w:cs="Arial"/>
                <w:b w:val="0"/>
                <w:bCs/>
                <w:color w:val="auto"/>
              </w:rPr>
            </w:pPr>
            <w:r w:rsidRPr="00F31AE4">
              <w:rPr>
                <w:rFonts w:cs="Arial"/>
                <w:b w:val="0"/>
                <w:bCs/>
                <w:color w:val="auto"/>
              </w:rPr>
              <w:t>Delivery and operation</w:t>
            </w:r>
            <w:r w:rsidRPr="00F31AE4">
              <w:rPr>
                <w:rFonts w:cs="Arial"/>
                <w:b w:val="0"/>
                <w:bCs/>
                <w:color w:val="auto"/>
              </w:rPr>
              <w:tab/>
            </w:r>
          </w:p>
          <w:p w14:paraId="1FCC3AEE" w14:textId="148ACAEA" w:rsidR="00923772" w:rsidRPr="00DB7774" w:rsidRDefault="00F31AE4" w:rsidP="00DB7774">
            <w:pPr>
              <w:pStyle w:val="TableTextWhite0"/>
              <w:keepNext/>
              <w:keepLines/>
              <w:spacing w:before="120" w:line="276" w:lineRule="auto"/>
              <w:rPr>
                <w:rFonts w:cs="Arial"/>
                <w:b w:val="0"/>
                <w:bCs/>
                <w:color w:val="auto"/>
              </w:rPr>
            </w:pPr>
            <w:r w:rsidRPr="00F31AE4">
              <w:rPr>
                <w:rFonts w:cs="Arial"/>
                <w:b w:val="0"/>
                <w:bCs/>
                <w:color w:val="auto"/>
              </w:rPr>
              <w:t>Service transition</w:t>
            </w:r>
          </w:p>
        </w:tc>
        <w:tc>
          <w:tcPr>
            <w:tcW w:w="5072" w:type="dxa"/>
            <w:tcBorders>
              <w:top w:val="single" w:sz="18" w:space="0" w:color="auto"/>
            </w:tcBorders>
            <w:shd w:val="clear" w:color="auto" w:fill="auto"/>
          </w:tcPr>
          <w:p w14:paraId="452F5BAD" w14:textId="1DCA12F9" w:rsidR="00923772" w:rsidRPr="00DB7774" w:rsidRDefault="00F31AE4" w:rsidP="00DB7774">
            <w:pPr>
              <w:pStyle w:val="TableTextWhite0"/>
              <w:keepNext/>
              <w:keepLines/>
              <w:spacing w:before="120" w:line="276" w:lineRule="auto"/>
              <w:rPr>
                <w:rFonts w:cs="Arial"/>
                <w:b w:val="0"/>
                <w:bCs/>
                <w:color w:val="auto"/>
              </w:rPr>
            </w:pPr>
            <w:r w:rsidRPr="00F31AE4">
              <w:rPr>
                <w:rFonts w:cs="Arial"/>
                <w:b w:val="0"/>
                <w:bCs/>
                <w:color w:val="auto"/>
              </w:rPr>
              <w:t>The management of the processes, systems and functions to package, build, test and deploy changes and updates (which are bounded as “releases”) into a live environment, establishing or continuing the specified service, to enable controlled and effective handover to operational management and the user community. The application of automation to improve the efficiency and quality of releases.</w:t>
            </w:r>
          </w:p>
        </w:tc>
        <w:tc>
          <w:tcPr>
            <w:tcW w:w="1834" w:type="dxa"/>
            <w:gridSpan w:val="2"/>
            <w:tcBorders>
              <w:top w:val="single" w:sz="18" w:space="0" w:color="auto"/>
            </w:tcBorders>
            <w:shd w:val="clear" w:color="auto" w:fill="auto"/>
          </w:tcPr>
          <w:p w14:paraId="2AFD1490" w14:textId="77777777" w:rsidR="00923772" w:rsidRDefault="00F31AE4" w:rsidP="00DB7774">
            <w:pPr>
              <w:pStyle w:val="TableTextWhite0"/>
              <w:keepNext/>
              <w:keepLines/>
              <w:spacing w:before="120" w:line="276" w:lineRule="auto"/>
              <w:rPr>
                <w:rFonts w:cs="Arial"/>
                <w:b w:val="0"/>
                <w:bCs/>
                <w:color w:val="auto"/>
              </w:rPr>
            </w:pPr>
            <w:r>
              <w:rPr>
                <w:rFonts w:cs="Arial"/>
                <w:b w:val="0"/>
                <w:bCs/>
                <w:color w:val="auto"/>
              </w:rPr>
              <w:t>RELM</w:t>
            </w:r>
          </w:p>
          <w:p w14:paraId="68BC1E90" w14:textId="667D09B2" w:rsidR="00F31AE4" w:rsidRPr="00DB7774" w:rsidRDefault="00F31AE4" w:rsidP="00DB7774">
            <w:pPr>
              <w:pStyle w:val="TableTextWhite0"/>
              <w:keepNext/>
              <w:keepLines/>
              <w:spacing w:before="120" w:line="276" w:lineRule="auto"/>
              <w:rPr>
                <w:rFonts w:cs="Arial"/>
                <w:b w:val="0"/>
                <w:bCs/>
                <w:color w:val="auto"/>
              </w:rPr>
            </w:pPr>
            <w:r>
              <w:rPr>
                <w:rFonts w:cs="Arial"/>
                <w:b w:val="0"/>
                <w:bCs/>
                <w:color w:val="auto"/>
              </w:rPr>
              <w:t>Level 5</w:t>
            </w:r>
          </w:p>
        </w:tc>
      </w:tr>
      <w:tr w:rsidR="00BD34CA" w:rsidRPr="00BD34CA" w14:paraId="6BA8CAC6" w14:textId="77777777" w:rsidTr="00931C7F">
        <w:trPr>
          <w:cantSplit/>
        </w:trPr>
        <w:tc>
          <w:tcPr>
            <w:tcW w:w="2022" w:type="dxa"/>
          </w:tcPr>
          <w:p w14:paraId="0783FEB6" w14:textId="77777777" w:rsidR="00923772" w:rsidRDefault="00F31AE4" w:rsidP="00DB7774">
            <w:pPr>
              <w:pStyle w:val="TableTextWhite0"/>
              <w:keepNext/>
              <w:keepLines/>
              <w:spacing w:before="120" w:line="276" w:lineRule="auto"/>
              <w:rPr>
                <w:rFonts w:cs="Arial"/>
                <w:b w:val="0"/>
                <w:bCs/>
                <w:color w:val="auto"/>
              </w:rPr>
            </w:pPr>
            <w:r w:rsidRPr="00F31AE4">
              <w:rPr>
                <w:rFonts w:cs="Arial"/>
                <w:b w:val="0"/>
                <w:bCs/>
                <w:color w:val="auto"/>
              </w:rPr>
              <w:t>Relationship management</w:t>
            </w:r>
          </w:p>
          <w:p w14:paraId="14B37778" w14:textId="6DCF2FEE" w:rsidR="00F31AE4" w:rsidRPr="00DB7774" w:rsidRDefault="00F31AE4"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406EB6EC" wp14:editId="726C4024">
                  <wp:extent cx="1247775" cy="572858"/>
                  <wp:effectExtent l="0" t="0" r="0" b="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shd w:val="clear" w:color="auto" w:fill="auto"/>
          </w:tcPr>
          <w:p w14:paraId="14435A43" w14:textId="77777777" w:rsidR="00F31AE4" w:rsidRDefault="00F31AE4" w:rsidP="00DB7774">
            <w:pPr>
              <w:pStyle w:val="TableTextWhite0"/>
              <w:keepNext/>
              <w:keepLines/>
              <w:spacing w:before="120" w:line="276" w:lineRule="auto"/>
              <w:rPr>
                <w:rFonts w:cs="Arial"/>
                <w:b w:val="0"/>
                <w:bCs/>
                <w:color w:val="auto"/>
              </w:rPr>
            </w:pPr>
            <w:r w:rsidRPr="00F31AE4">
              <w:rPr>
                <w:rFonts w:cs="Arial"/>
                <w:b w:val="0"/>
                <w:bCs/>
                <w:color w:val="auto"/>
              </w:rPr>
              <w:t>Relationships and engagement</w:t>
            </w:r>
            <w:r w:rsidRPr="00F31AE4">
              <w:rPr>
                <w:rFonts w:cs="Arial"/>
                <w:b w:val="0"/>
                <w:bCs/>
                <w:color w:val="auto"/>
              </w:rPr>
              <w:tab/>
            </w:r>
          </w:p>
          <w:p w14:paraId="47724125" w14:textId="2B1308BF" w:rsidR="00923772" w:rsidRPr="00DB7774" w:rsidRDefault="00F31AE4" w:rsidP="00DB7774">
            <w:pPr>
              <w:pStyle w:val="TableTextWhite0"/>
              <w:keepNext/>
              <w:keepLines/>
              <w:spacing w:before="120" w:line="276" w:lineRule="auto"/>
              <w:rPr>
                <w:rFonts w:cs="Arial"/>
                <w:b w:val="0"/>
                <w:bCs/>
                <w:color w:val="auto"/>
              </w:rPr>
            </w:pPr>
            <w:r w:rsidRPr="00F31AE4">
              <w:rPr>
                <w:rFonts w:cs="Arial"/>
                <w:b w:val="0"/>
                <w:bCs/>
                <w:color w:val="auto"/>
              </w:rPr>
              <w:t>Stakeholder management</w:t>
            </w:r>
          </w:p>
        </w:tc>
        <w:tc>
          <w:tcPr>
            <w:tcW w:w="5072" w:type="dxa"/>
            <w:shd w:val="clear" w:color="auto" w:fill="auto"/>
          </w:tcPr>
          <w:p w14:paraId="0E458B72" w14:textId="1A582F31" w:rsidR="00923772" w:rsidRPr="00DB7774" w:rsidRDefault="00F31AE4" w:rsidP="00F31AE4">
            <w:pPr>
              <w:pStyle w:val="TableTextWhite0"/>
              <w:keepNext/>
              <w:keepLines/>
              <w:spacing w:before="120" w:line="276" w:lineRule="auto"/>
              <w:rPr>
                <w:rFonts w:cs="Arial"/>
                <w:b w:val="0"/>
                <w:bCs/>
                <w:color w:val="auto"/>
              </w:rPr>
            </w:pPr>
            <w:r w:rsidRPr="00F31AE4">
              <w:rPr>
                <w:rFonts w:cs="Arial"/>
                <w:b w:val="0"/>
                <w:bCs/>
                <w:color w:val="auto"/>
              </w:rPr>
              <w:t xml:space="preserve">The systematic identification, analysis, management, monitoring and improvement of stakeholder relationships </w:t>
            </w:r>
            <w:proofErr w:type="gramStart"/>
            <w:r w:rsidRPr="00F31AE4">
              <w:rPr>
                <w:rFonts w:cs="Arial"/>
                <w:b w:val="0"/>
                <w:bCs/>
                <w:color w:val="auto"/>
              </w:rPr>
              <w:t>in order to</w:t>
            </w:r>
            <w:proofErr w:type="gramEnd"/>
            <w:r w:rsidRPr="00F31AE4">
              <w:rPr>
                <w:rFonts w:cs="Arial"/>
                <w:b w:val="0"/>
                <w:bCs/>
                <w:color w:val="auto"/>
              </w:rPr>
              <w:t xml:space="preserve"> target and improve mutually beneficial outcomes. Gains commitment to action through consultation and consideration of impacts. Design the relationship management approach to be </w:t>
            </w:r>
            <w:proofErr w:type="gramStart"/>
            <w:r w:rsidRPr="00F31AE4">
              <w:rPr>
                <w:rFonts w:cs="Arial"/>
                <w:b w:val="0"/>
                <w:bCs/>
                <w:color w:val="auto"/>
              </w:rPr>
              <w:t>taken;</w:t>
            </w:r>
            <w:proofErr w:type="gramEnd"/>
            <w:r w:rsidRPr="00F31AE4">
              <w:rPr>
                <w:rFonts w:cs="Arial"/>
                <w:b w:val="0"/>
                <w:bCs/>
                <w:color w:val="auto"/>
              </w:rPr>
              <w:t xml:space="preserve"> including roles and responsibilities, governance, policies, processes, and tools, and support mechanisms. Creatively combines formal and informal communication channels </w:t>
            </w:r>
            <w:proofErr w:type="gramStart"/>
            <w:r w:rsidRPr="00F31AE4">
              <w:rPr>
                <w:rFonts w:cs="Arial"/>
                <w:b w:val="0"/>
                <w:bCs/>
                <w:color w:val="auto"/>
              </w:rPr>
              <w:t>in order to</w:t>
            </w:r>
            <w:proofErr w:type="gramEnd"/>
            <w:r w:rsidRPr="00F31AE4">
              <w:rPr>
                <w:rFonts w:cs="Arial"/>
                <w:b w:val="0"/>
                <w:bCs/>
                <w:color w:val="auto"/>
              </w:rPr>
              <w:t xml:space="preserve"> achieve the desired result.</w:t>
            </w:r>
          </w:p>
        </w:tc>
        <w:tc>
          <w:tcPr>
            <w:tcW w:w="1834" w:type="dxa"/>
            <w:gridSpan w:val="2"/>
            <w:shd w:val="clear" w:color="auto" w:fill="auto"/>
          </w:tcPr>
          <w:p w14:paraId="5F1B9BFA" w14:textId="77777777" w:rsidR="00923772" w:rsidRDefault="00F31AE4" w:rsidP="00DB7774">
            <w:pPr>
              <w:pStyle w:val="TableTextWhite0"/>
              <w:keepNext/>
              <w:keepLines/>
              <w:spacing w:before="120" w:line="276" w:lineRule="auto"/>
              <w:rPr>
                <w:rFonts w:cs="Arial"/>
                <w:b w:val="0"/>
                <w:bCs/>
                <w:color w:val="auto"/>
              </w:rPr>
            </w:pPr>
            <w:r>
              <w:rPr>
                <w:rFonts w:cs="Arial"/>
                <w:b w:val="0"/>
                <w:bCs/>
                <w:color w:val="auto"/>
              </w:rPr>
              <w:t>RLMT</w:t>
            </w:r>
          </w:p>
          <w:p w14:paraId="207CB7ED" w14:textId="6A329054" w:rsidR="00F31AE4" w:rsidRPr="00DB7774" w:rsidRDefault="00F31AE4" w:rsidP="00DB7774">
            <w:pPr>
              <w:pStyle w:val="TableTextWhite0"/>
              <w:keepNext/>
              <w:keepLines/>
              <w:spacing w:before="120" w:line="276" w:lineRule="auto"/>
              <w:rPr>
                <w:rFonts w:cs="Arial"/>
                <w:b w:val="0"/>
                <w:bCs/>
                <w:color w:val="auto"/>
              </w:rPr>
            </w:pPr>
            <w:r>
              <w:rPr>
                <w:rFonts w:cs="Arial"/>
                <w:b w:val="0"/>
                <w:bCs/>
                <w:color w:val="auto"/>
              </w:rPr>
              <w:t>Level 5</w:t>
            </w:r>
          </w:p>
        </w:tc>
      </w:tr>
    </w:tbl>
    <w:p w14:paraId="0DDB8976" w14:textId="10E7F587" w:rsidR="00313197" w:rsidRPr="003927AE" w:rsidRDefault="00313197" w:rsidP="003927AE"/>
    <w:sectPr w:rsidR="00313197" w:rsidRPr="003927AE" w:rsidSect="009D747B">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5745E" w14:textId="77777777" w:rsidR="005746DD" w:rsidRDefault="005746DD" w:rsidP="00BB532F">
      <w:pPr>
        <w:spacing w:after="0" w:line="240" w:lineRule="auto"/>
      </w:pPr>
      <w:r>
        <w:separator/>
      </w:r>
    </w:p>
  </w:endnote>
  <w:endnote w:type="continuationSeparator" w:id="0">
    <w:p w14:paraId="46EB1598" w14:textId="77777777" w:rsidR="005746DD" w:rsidRDefault="005746D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CA3DC" w14:textId="77777777" w:rsidR="00554917" w:rsidRDefault="0055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3F1998E3"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E63615" w:rsidRPr="00E63615">
            <w:rPr>
              <w:b/>
              <w:color w:val="928B81"/>
              <w:sz w:val="18"/>
            </w:rPr>
            <w:t>Manager</w:t>
          </w:r>
          <w:proofErr w:type="gramEnd"/>
          <w:r w:rsidR="00E63615" w:rsidRPr="00E63615">
            <w:rPr>
              <w:b/>
              <w:color w:val="928B81"/>
              <w:sz w:val="18"/>
            </w:rPr>
            <w:t xml:space="preserve"> Service Transition &amp; Change</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78FC1" w14:textId="77777777" w:rsidR="005746DD" w:rsidRDefault="005746DD" w:rsidP="00BB532F">
      <w:pPr>
        <w:spacing w:after="0" w:line="240" w:lineRule="auto"/>
      </w:pPr>
      <w:r>
        <w:separator/>
      </w:r>
    </w:p>
  </w:footnote>
  <w:footnote w:type="continuationSeparator" w:id="0">
    <w:p w14:paraId="559DFE3F" w14:textId="77777777" w:rsidR="005746DD" w:rsidRDefault="005746D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1EED" w14:textId="77777777" w:rsidR="00554917" w:rsidRDefault="0055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E6873" w14:textId="77777777" w:rsidR="00554917" w:rsidRDefault="00554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394B9F31" w:rsidR="00935EE2" w:rsidRPr="00935EE2" w:rsidRDefault="00E63615" w:rsidP="001C2248">
          <w:pPr>
            <w:pStyle w:val="TitleSub"/>
            <w:spacing w:after="0"/>
            <w:rPr>
              <w:rFonts w:ascii="Arial" w:hAnsi="Arial" w:cs="Arial"/>
              <w:b/>
            </w:rPr>
          </w:pPr>
          <w:r w:rsidRPr="00E63615">
            <w:rPr>
              <w:rFonts w:ascii="Arial" w:hAnsi="Arial" w:cs="Arial"/>
              <w:b/>
            </w:rPr>
            <w:t>Manager Service Transition &amp; Change</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0"/>
  </w:num>
  <w:num w:numId="6">
    <w:abstractNumId w:val="0"/>
  </w:num>
  <w:num w:numId="7">
    <w:abstractNumId w:val="0"/>
  </w:num>
  <w:num w:numId="8">
    <w:abstractNumId w:val="0"/>
  </w:num>
  <w:num w:numId="9">
    <w:abstractNumId w:val="0"/>
  </w:num>
  <w:num w:numId="10">
    <w:abstractNumId w:val="6"/>
  </w:num>
  <w:num w:numId="11">
    <w:abstractNumId w:val="2"/>
  </w:num>
  <w:num w:numId="12">
    <w:abstractNumId w:val="3"/>
  </w:num>
  <w:num w:numId="13">
    <w:abstractNumId w:val="1"/>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00CC8"/>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54917"/>
    <w:rsid w:val="005746DD"/>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1C7F"/>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2D13"/>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508"/>
    <w:rsid w:val="00CA76B5"/>
    <w:rsid w:val="00CC1BFB"/>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B7774"/>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63615"/>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AE4"/>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6502">
      <w:bodyDiv w:val="1"/>
      <w:marLeft w:val="0"/>
      <w:marRight w:val="0"/>
      <w:marTop w:val="0"/>
      <w:marBottom w:val="0"/>
      <w:divBdr>
        <w:top w:val="none" w:sz="0" w:space="0" w:color="auto"/>
        <w:left w:val="none" w:sz="0" w:space="0" w:color="auto"/>
        <w:bottom w:val="none" w:sz="0" w:space="0" w:color="auto"/>
        <w:right w:val="none" w:sz="0" w:space="0" w:color="auto"/>
      </w:divBdr>
    </w:div>
    <w:div w:id="71239587">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84905083">
      <w:bodyDiv w:val="1"/>
      <w:marLeft w:val="0"/>
      <w:marRight w:val="0"/>
      <w:marTop w:val="0"/>
      <w:marBottom w:val="0"/>
      <w:divBdr>
        <w:top w:val="none" w:sz="0" w:space="0" w:color="auto"/>
        <w:left w:val="none" w:sz="0" w:space="0" w:color="auto"/>
        <w:bottom w:val="none" w:sz="0" w:space="0" w:color="auto"/>
        <w:right w:val="none" w:sz="0" w:space="0" w:color="auto"/>
      </w:divBdr>
    </w:div>
    <w:div w:id="281235145">
      <w:bodyDiv w:val="1"/>
      <w:marLeft w:val="0"/>
      <w:marRight w:val="0"/>
      <w:marTop w:val="0"/>
      <w:marBottom w:val="0"/>
      <w:divBdr>
        <w:top w:val="none" w:sz="0" w:space="0" w:color="auto"/>
        <w:left w:val="none" w:sz="0" w:space="0" w:color="auto"/>
        <w:bottom w:val="none" w:sz="0" w:space="0" w:color="auto"/>
        <w:right w:val="none" w:sz="0" w:space="0" w:color="auto"/>
      </w:divBdr>
    </w:div>
    <w:div w:id="293490869">
      <w:bodyDiv w:val="1"/>
      <w:marLeft w:val="0"/>
      <w:marRight w:val="0"/>
      <w:marTop w:val="0"/>
      <w:marBottom w:val="0"/>
      <w:divBdr>
        <w:top w:val="none" w:sz="0" w:space="0" w:color="auto"/>
        <w:left w:val="none" w:sz="0" w:space="0" w:color="auto"/>
        <w:bottom w:val="none" w:sz="0" w:space="0" w:color="auto"/>
        <w:right w:val="none" w:sz="0" w:space="0" w:color="auto"/>
      </w:divBdr>
      <w:divsChild>
        <w:div w:id="470515428">
          <w:marLeft w:val="0"/>
          <w:marRight w:val="0"/>
          <w:marTop w:val="0"/>
          <w:marBottom w:val="0"/>
          <w:divBdr>
            <w:top w:val="none" w:sz="0" w:space="0" w:color="auto"/>
            <w:left w:val="none" w:sz="0" w:space="0" w:color="auto"/>
            <w:bottom w:val="none" w:sz="0" w:space="0" w:color="auto"/>
            <w:right w:val="none" w:sz="0" w:space="0" w:color="auto"/>
          </w:divBdr>
        </w:div>
      </w:divsChild>
    </w:div>
    <w:div w:id="310448969">
      <w:bodyDiv w:val="1"/>
      <w:marLeft w:val="0"/>
      <w:marRight w:val="0"/>
      <w:marTop w:val="0"/>
      <w:marBottom w:val="0"/>
      <w:divBdr>
        <w:top w:val="none" w:sz="0" w:space="0" w:color="auto"/>
        <w:left w:val="none" w:sz="0" w:space="0" w:color="auto"/>
        <w:bottom w:val="none" w:sz="0" w:space="0" w:color="auto"/>
        <w:right w:val="none" w:sz="0" w:space="0" w:color="auto"/>
      </w:divBdr>
    </w:div>
    <w:div w:id="323362154">
      <w:bodyDiv w:val="1"/>
      <w:marLeft w:val="0"/>
      <w:marRight w:val="0"/>
      <w:marTop w:val="0"/>
      <w:marBottom w:val="0"/>
      <w:divBdr>
        <w:top w:val="none" w:sz="0" w:space="0" w:color="auto"/>
        <w:left w:val="none" w:sz="0" w:space="0" w:color="auto"/>
        <w:bottom w:val="none" w:sz="0" w:space="0" w:color="auto"/>
        <w:right w:val="none" w:sz="0" w:space="0" w:color="auto"/>
      </w:divBdr>
    </w:div>
    <w:div w:id="341785032">
      <w:bodyDiv w:val="1"/>
      <w:marLeft w:val="0"/>
      <w:marRight w:val="0"/>
      <w:marTop w:val="0"/>
      <w:marBottom w:val="0"/>
      <w:divBdr>
        <w:top w:val="none" w:sz="0" w:space="0" w:color="auto"/>
        <w:left w:val="none" w:sz="0" w:space="0" w:color="auto"/>
        <w:bottom w:val="none" w:sz="0" w:space="0" w:color="auto"/>
        <w:right w:val="none" w:sz="0" w:space="0" w:color="auto"/>
      </w:divBdr>
    </w:div>
    <w:div w:id="409889582">
      <w:bodyDiv w:val="1"/>
      <w:marLeft w:val="0"/>
      <w:marRight w:val="0"/>
      <w:marTop w:val="0"/>
      <w:marBottom w:val="0"/>
      <w:divBdr>
        <w:top w:val="none" w:sz="0" w:space="0" w:color="auto"/>
        <w:left w:val="none" w:sz="0" w:space="0" w:color="auto"/>
        <w:bottom w:val="none" w:sz="0" w:space="0" w:color="auto"/>
        <w:right w:val="none" w:sz="0" w:space="0" w:color="auto"/>
      </w:divBdr>
    </w:div>
    <w:div w:id="441269129">
      <w:bodyDiv w:val="1"/>
      <w:marLeft w:val="0"/>
      <w:marRight w:val="0"/>
      <w:marTop w:val="0"/>
      <w:marBottom w:val="0"/>
      <w:divBdr>
        <w:top w:val="none" w:sz="0" w:space="0" w:color="auto"/>
        <w:left w:val="none" w:sz="0" w:space="0" w:color="auto"/>
        <w:bottom w:val="none" w:sz="0" w:space="0" w:color="auto"/>
        <w:right w:val="none" w:sz="0" w:space="0" w:color="auto"/>
      </w:divBdr>
      <w:divsChild>
        <w:div w:id="1184516572">
          <w:marLeft w:val="0"/>
          <w:marRight w:val="0"/>
          <w:marTop w:val="0"/>
          <w:marBottom w:val="0"/>
          <w:divBdr>
            <w:top w:val="none" w:sz="0" w:space="0" w:color="auto"/>
            <w:left w:val="none" w:sz="0" w:space="0" w:color="auto"/>
            <w:bottom w:val="none" w:sz="0" w:space="0" w:color="auto"/>
            <w:right w:val="none" w:sz="0" w:space="0" w:color="auto"/>
          </w:divBdr>
        </w:div>
      </w:divsChild>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65865868">
      <w:bodyDiv w:val="1"/>
      <w:marLeft w:val="0"/>
      <w:marRight w:val="0"/>
      <w:marTop w:val="0"/>
      <w:marBottom w:val="0"/>
      <w:divBdr>
        <w:top w:val="none" w:sz="0" w:space="0" w:color="auto"/>
        <w:left w:val="none" w:sz="0" w:space="0" w:color="auto"/>
        <w:bottom w:val="none" w:sz="0" w:space="0" w:color="auto"/>
        <w:right w:val="none" w:sz="0" w:space="0" w:color="auto"/>
      </w:divBdr>
    </w:div>
    <w:div w:id="893853438">
      <w:bodyDiv w:val="1"/>
      <w:marLeft w:val="0"/>
      <w:marRight w:val="0"/>
      <w:marTop w:val="0"/>
      <w:marBottom w:val="0"/>
      <w:divBdr>
        <w:top w:val="none" w:sz="0" w:space="0" w:color="auto"/>
        <w:left w:val="none" w:sz="0" w:space="0" w:color="auto"/>
        <w:bottom w:val="none" w:sz="0" w:space="0" w:color="auto"/>
        <w:right w:val="none" w:sz="0" w:space="0" w:color="auto"/>
      </w:divBdr>
    </w:div>
    <w:div w:id="1003163739">
      <w:bodyDiv w:val="1"/>
      <w:marLeft w:val="0"/>
      <w:marRight w:val="0"/>
      <w:marTop w:val="0"/>
      <w:marBottom w:val="0"/>
      <w:divBdr>
        <w:top w:val="none" w:sz="0" w:space="0" w:color="auto"/>
        <w:left w:val="none" w:sz="0" w:space="0" w:color="auto"/>
        <w:bottom w:val="none" w:sz="0" w:space="0" w:color="auto"/>
        <w:right w:val="none" w:sz="0" w:space="0" w:color="auto"/>
      </w:divBdr>
      <w:divsChild>
        <w:div w:id="2108040176">
          <w:marLeft w:val="0"/>
          <w:marRight w:val="0"/>
          <w:marTop w:val="0"/>
          <w:marBottom w:val="0"/>
          <w:divBdr>
            <w:top w:val="none" w:sz="0" w:space="0" w:color="auto"/>
            <w:left w:val="none" w:sz="0" w:space="0" w:color="auto"/>
            <w:bottom w:val="none" w:sz="0" w:space="0" w:color="auto"/>
            <w:right w:val="none" w:sz="0" w:space="0" w:color="auto"/>
          </w:divBdr>
        </w:div>
      </w:divsChild>
    </w:div>
    <w:div w:id="1085112111">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104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fontTable" Target="fontTable.xml" Id="rId23"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footer" Target="footer3.xml" Id="rId22" /><Relationship Type="http://schemas.openxmlformats.org/officeDocument/2006/relationships/customXml" Target="/customXML/item3.xml" Id="R9155e1043813446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A5254283</value>
    </field>
    <field name="Objective-Title">
      <value order="0">Manager Service Transition &amp; Change RD_Clerk Grade 11-12</value>
    </field>
    <field name="Objective-Description">
      <value order="0"/>
    </field>
    <field name="Objective-CreationStamp">
      <value order="0">2021-07-01T23:14:48Z</value>
    </field>
    <field name="Objective-IsApproved">
      <value order="0">false</value>
    </field>
    <field name="Objective-IsPublished">
      <value order="0">true</value>
    </field>
    <field name="Objective-DatePublished">
      <value order="0">2021-07-01T23:42:48Z</value>
    </field>
    <field name="Objective-ModificationStamp">
      <value order="0">2021-07-01T23:42:49Z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vA9002663</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57</TotalTime>
  <Pages>8</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3</cp:revision>
  <dcterms:created xsi:type="dcterms:W3CDTF">2021-07-02T00:14:00Z</dcterms:created>
  <dcterms:modified xsi:type="dcterms:W3CDTF">2021-07-02T00:41:00Z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A5254283</vt:lpwstr>
  </property>
  <property fmtid="{D5CDD505-2E9C-101B-9397-08002B2CF9AE}" pid="4" name="Objective-Title">
    <vt:lpwstr>Manager Service Transition &amp; Change RD_Clerk Grade 11-12</vt:lpwstr>
  </property>
  <property fmtid="{D5CDD505-2E9C-101B-9397-08002B2CF9AE}" pid="5" name="Objective-Description">
    <vt:lpwstr/>
  </property>
  <property fmtid="{D5CDD505-2E9C-101B-9397-08002B2CF9AE}" pid="6" name="Objective-CreationStamp">
    <vt:filetime>2021-07-01T23:14:48Z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2021-07-01T23:42:48Z</vt:filetime>
  </property>
  <property fmtid="{D5CDD505-2E9C-101B-9397-08002B2CF9AE}" pid="10" name="Objective-ModificationStamp">
    <vt:filetime>2021-07-01T23:42:49Z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vA9002663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