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3409a21923d4d6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67BC" w14:textId="102375D2" w:rsidR="00F15D94" w:rsidRPr="00B86438" w:rsidRDefault="004E53DA" w:rsidP="00F15D94">
      <w:pPr>
        <w:rPr>
          <w:rFonts w:asciiTheme="minorHAnsi" w:hAnsiTheme="minorHAnsi" w:cstheme="minorHAnsi"/>
          <w:b/>
          <w:bCs/>
          <w:lang w:val="en-US"/>
        </w:rPr>
      </w:pPr>
      <w:r w:rsidRPr="00B86438">
        <w:rPr>
          <w:rFonts w:asciiTheme="minorHAnsi" w:hAnsiTheme="minorHAnsi" w:cstheme="minorHAnsi"/>
          <w:b/>
          <w:bCs/>
          <w:lang w:val="en-US"/>
        </w:rPr>
        <w:t xml:space="preserve">Key messages and </w:t>
      </w:r>
      <w:r w:rsidR="00EB15BD" w:rsidRPr="00B86438">
        <w:rPr>
          <w:rFonts w:asciiTheme="minorHAnsi" w:hAnsiTheme="minorHAnsi" w:cstheme="minorHAnsi"/>
          <w:b/>
          <w:bCs/>
          <w:lang w:val="en-US"/>
        </w:rPr>
        <w:t xml:space="preserve">references </w:t>
      </w:r>
      <w:r w:rsidRPr="00B86438">
        <w:rPr>
          <w:rFonts w:asciiTheme="minorHAnsi" w:hAnsiTheme="minorHAnsi" w:cstheme="minorHAnsi"/>
          <w:b/>
          <w:bCs/>
          <w:lang w:val="en-US"/>
        </w:rPr>
        <w:t xml:space="preserve">for </w:t>
      </w:r>
      <w:r w:rsidR="00D5403D" w:rsidRPr="00B86438">
        <w:rPr>
          <w:rFonts w:asciiTheme="minorHAnsi" w:hAnsiTheme="minorHAnsi" w:cstheme="minorHAnsi"/>
          <w:b/>
          <w:bCs/>
          <w:lang w:val="en-US"/>
        </w:rPr>
        <w:t>Rhonda Brighton Hall’s</w:t>
      </w:r>
      <w:r w:rsidRPr="00B86438">
        <w:rPr>
          <w:rFonts w:asciiTheme="minorHAnsi" w:hAnsiTheme="minorHAnsi" w:cstheme="minorHAnsi"/>
          <w:b/>
          <w:bCs/>
          <w:lang w:val="en-US"/>
        </w:rPr>
        <w:t xml:space="preserve"> Podcast</w:t>
      </w:r>
    </w:p>
    <w:p w14:paraId="48842518" w14:textId="108FE16D" w:rsidR="00F15D94" w:rsidRPr="00B86438" w:rsidRDefault="00F15D94" w:rsidP="00F15D94">
      <w:pPr>
        <w:rPr>
          <w:rFonts w:asciiTheme="minorHAnsi" w:hAnsiTheme="minorHAnsi" w:cstheme="minorHAnsi"/>
          <w:lang w:val="en-US"/>
        </w:rPr>
      </w:pPr>
    </w:p>
    <w:p w14:paraId="7AC7CA57" w14:textId="23CDD3D9" w:rsidR="00F15D94" w:rsidRPr="00B86438" w:rsidRDefault="00F15D94" w:rsidP="00F15D94">
      <w:pPr>
        <w:rPr>
          <w:rFonts w:asciiTheme="minorHAnsi" w:hAnsiTheme="minorHAnsi" w:cstheme="minorHAnsi"/>
          <w:lang w:val="en-US"/>
        </w:rPr>
      </w:pPr>
      <w:r w:rsidRPr="00B86438">
        <w:rPr>
          <w:rFonts w:asciiTheme="minorHAnsi" w:hAnsiTheme="minorHAnsi" w:cstheme="minorHAnsi"/>
          <w:lang w:val="en-US"/>
        </w:rPr>
        <w:t>Key messages:</w:t>
      </w:r>
    </w:p>
    <w:p w14:paraId="2A44F26B" w14:textId="76B305E1" w:rsidR="00F15D94" w:rsidRPr="00B86438" w:rsidRDefault="00F15D94" w:rsidP="00F15D94">
      <w:pPr>
        <w:rPr>
          <w:rFonts w:asciiTheme="minorHAnsi" w:hAnsiTheme="minorHAnsi" w:cstheme="minorHAnsi"/>
          <w:lang w:val="en-US"/>
        </w:rPr>
      </w:pPr>
    </w:p>
    <w:p w14:paraId="4CF58DF6" w14:textId="63F2C90E" w:rsidR="008645EB" w:rsidRPr="00B86438" w:rsidRDefault="008645EB" w:rsidP="00A7733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Has observed a shift in the HR function from being predominantly about IR/compliance/service delivery to a function which is about the individual and focusing on empowerment, enablement, working together, </w:t>
      </w:r>
      <w:proofErr w:type="spellStart"/>
      <w:r w:rsidRPr="00B86438">
        <w:rPr>
          <w:rFonts w:asciiTheme="minorHAnsi" w:hAnsiTheme="minorHAnsi" w:cstheme="minorHAnsi"/>
          <w:lang w:val="en-US"/>
        </w:rPr>
        <w:t>organisational</w:t>
      </w:r>
      <w:proofErr w:type="spellEnd"/>
      <w:r w:rsidRPr="00B86438">
        <w:rPr>
          <w:rFonts w:asciiTheme="minorHAnsi" w:hAnsiTheme="minorHAnsi" w:cstheme="minorHAnsi"/>
          <w:lang w:val="en-US"/>
        </w:rPr>
        <w:t xml:space="preserve"> culture and leadership </w:t>
      </w:r>
    </w:p>
    <w:p w14:paraId="74180EB3" w14:textId="3DE97B87" w:rsidR="000809A5" w:rsidRPr="00B86438" w:rsidRDefault="000809A5" w:rsidP="00A7733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There has been significant change in how we manage talent, performance and recruitment.  We have moved from data on performance to be about contribution and how we behave which has gone into the performance.  </w:t>
      </w:r>
    </w:p>
    <w:p w14:paraId="4134C109" w14:textId="1F33B1E4" w:rsidR="000809A5" w:rsidRPr="00B86438" w:rsidRDefault="000809A5" w:rsidP="00A7733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Talent </w:t>
      </w:r>
      <w:r w:rsidR="0030624D" w:rsidRPr="00B86438">
        <w:rPr>
          <w:rFonts w:asciiTheme="minorHAnsi" w:hAnsiTheme="minorHAnsi" w:cstheme="minorHAnsi"/>
          <w:lang w:val="en-US"/>
        </w:rPr>
        <w:t xml:space="preserve">management has moved away from the “box grid” or an “event process” to be one which is </w:t>
      </w:r>
      <w:r w:rsidRPr="00B86438">
        <w:rPr>
          <w:rFonts w:asciiTheme="minorHAnsi" w:hAnsiTheme="minorHAnsi" w:cstheme="minorHAnsi"/>
          <w:lang w:val="en-US"/>
        </w:rPr>
        <w:t xml:space="preserve">about focusing on three key things (think of it as a circle) – the outer ring </w:t>
      </w:r>
      <w:r w:rsidR="0030624D" w:rsidRPr="00B86438">
        <w:rPr>
          <w:rFonts w:asciiTheme="minorHAnsi" w:hAnsiTheme="minorHAnsi" w:cstheme="minorHAnsi"/>
          <w:lang w:val="en-US"/>
        </w:rPr>
        <w:t>is about “everyone” having access to opportunities and realizing their potential, an inner circle that is about capability an organisation provide an advantage and the inner circle is about “talent management” which is about how you create an environment and a culture that enables as many people as possible to be appropriate candidates for more senior roles in the future.</w:t>
      </w:r>
    </w:p>
    <w:p w14:paraId="1D3C3100" w14:textId="2B03C192" w:rsidR="00B03F38" w:rsidRPr="00B86438" w:rsidRDefault="00B03F38" w:rsidP="00A7733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HR needs to focus their time in talent management on measurable results – are people developing, are they positive about their career, are you getting diverse people through the ceiling, do you have a bench strength of great people, are you mitigating risks where you have only one or no people ready for pipeline/roles to succeed</w:t>
      </w:r>
      <w:r w:rsidR="00A77333" w:rsidRPr="00B86438">
        <w:rPr>
          <w:rFonts w:asciiTheme="minorHAnsi" w:hAnsiTheme="minorHAnsi" w:cstheme="minorHAnsi"/>
          <w:lang w:val="en-US"/>
        </w:rPr>
        <w:t>.  It’s 90% career discussions and 10% on the 10% admin</w:t>
      </w:r>
    </w:p>
    <w:p w14:paraId="290675F8" w14:textId="7FF0933B" w:rsidR="00A77333" w:rsidRPr="00B86438" w:rsidRDefault="00843633" w:rsidP="00D176BD">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In developing our people there has been a c</w:t>
      </w:r>
      <w:r w:rsidR="00A77333" w:rsidRPr="00B86438">
        <w:rPr>
          <w:rFonts w:asciiTheme="minorHAnsi" w:hAnsiTheme="minorHAnsi" w:cstheme="minorHAnsi"/>
          <w:lang w:val="en-US"/>
        </w:rPr>
        <w:t>hange in emphasis from “what is a skill and how do you learn it” across to “what’s the experience</w:t>
      </w:r>
      <w:r w:rsidR="00F7405D" w:rsidRPr="00B86438">
        <w:rPr>
          <w:rFonts w:asciiTheme="minorHAnsi" w:hAnsiTheme="minorHAnsi" w:cstheme="minorHAnsi"/>
          <w:lang w:val="en-US"/>
        </w:rPr>
        <w:t>,</w:t>
      </w:r>
      <w:r w:rsidR="00A77333" w:rsidRPr="00B86438">
        <w:rPr>
          <w:rFonts w:asciiTheme="minorHAnsi" w:hAnsiTheme="minorHAnsi" w:cstheme="minorHAnsi"/>
          <w:lang w:val="en-US"/>
        </w:rPr>
        <w:t xml:space="preserve"> how do you get it</w:t>
      </w:r>
      <w:r w:rsidR="00F7405D" w:rsidRPr="00B86438">
        <w:rPr>
          <w:rFonts w:asciiTheme="minorHAnsi" w:hAnsiTheme="minorHAnsi" w:cstheme="minorHAnsi"/>
          <w:lang w:val="en-US"/>
        </w:rPr>
        <w:t xml:space="preserve"> and learn it</w:t>
      </w:r>
      <w:r w:rsidR="00A77333" w:rsidRPr="00B86438">
        <w:rPr>
          <w:rFonts w:asciiTheme="minorHAnsi" w:hAnsiTheme="minorHAnsi" w:cstheme="minorHAnsi"/>
          <w:lang w:val="en-US"/>
        </w:rPr>
        <w:t>”</w:t>
      </w:r>
      <w:r w:rsidRPr="00B86438">
        <w:rPr>
          <w:rFonts w:asciiTheme="minorHAnsi" w:hAnsiTheme="minorHAnsi" w:cstheme="minorHAnsi"/>
          <w:lang w:val="en-US"/>
        </w:rPr>
        <w:t xml:space="preserve"> – which is a modern version of 70-20-10 where the broader life experience is recognized and mapped earlier in a person’s career for them to gain the exposure and learning experience</w:t>
      </w:r>
      <w:r w:rsidR="00A2201D" w:rsidRPr="00B86438">
        <w:rPr>
          <w:rFonts w:asciiTheme="minorHAnsi" w:hAnsiTheme="minorHAnsi" w:cstheme="minorHAnsi"/>
          <w:lang w:val="en-US"/>
        </w:rPr>
        <w:t>.</w:t>
      </w:r>
    </w:p>
    <w:p w14:paraId="4B4D4D8C" w14:textId="384024EE" w:rsidR="00A2201D" w:rsidRPr="00B86438" w:rsidRDefault="00A2201D" w:rsidP="00D176BD">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Rhonda also shares her take on ‘individuals owning their development plan’, but it really only works well when the individual is by a great leader who will give good advice, guidance and suggestions and lean into feedback the individual needs to move forward with their career.</w:t>
      </w:r>
    </w:p>
    <w:p w14:paraId="0082A700" w14:textId="2CE8AB02" w:rsidR="00F15D94" w:rsidRPr="00B86438" w:rsidRDefault="006F4A72" w:rsidP="00A13A9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Problems with capability frameworks is that they are often not used – it needs to be a tool which is understood</w:t>
      </w:r>
      <w:r w:rsidR="006A36C4" w:rsidRPr="00B86438">
        <w:rPr>
          <w:rFonts w:asciiTheme="minorHAnsi" w:hAnsiTheme="minorHAnsi" w:cstheme="minorHAnsi"/>
          <w:lang w:val="en-US"/>
        </w:rPr>
        <w:t xml:space="preserve">, </w:t>
      </w:r>
      <w:r w:rsidRPr="00B86438">
        <w:rPr>
          <w:rFonts w:asciiTheme="minorHAnsi" w:hAnsiTheme="minorHAnsi" w:cstheme="minorHAnsi"/>
          <w:lang w:val="en-US"/>
        </w:rPr>
        <w:t>used</w:t>
      </w:r>
      <w:r w:rsidR="006A36C4" w:rsidRPr="00B86438">
        <w:rPr>
          <w:rFonts w:asciiTheme="minorHAnsi" w:hAnsiTheme="minorHAnsi" w:cstheme="minorHAnsi"/>
          <w:lang w:val="en-US"/>
        </w:rPr>
        <w:t xml:space="preserve"> and accessed from the individual’s career perspective </w:t>
      </w:r>
      <w:r w:rsidR="00C85B8E" w:rsidRPr="00B86438">
        <w:rPr>
          <w:rFonts w:asciiTheme="minorHAnsi" w:hAnsiTheme="minorHAnsi" w:cstheme="minorHAnsi"/>
          <w:lang w:val="en-US"/>
        </w:rPr>
        <w:t xml:space="preserve">to assist them in finding their right path.  Staring with </w:t>
      </w:r>
      <w:r w:rsidR="006A36C4" w:rsidRPr="00B86438">
        <w:rPr>
          <w:rFonts w:asciiTheme="minorHAnsi" w:hAnsiTheme="minorHAnsi" w:cstheme="minorHAnsi"/>
          <w:lang w:val="en-US"/>
        </w:rPr>
        <w:t xml:space="preserve">what “raw materials” </w:t>
      </w:r>
      <w:r w:rsidR="00C85B8E" w:rsidRPr="00B86438">
        <w:rPr>
          <w:rFonts w:asciiTheme="minorHAnsi" w:hAnsiTheme="minorHAnsi" w:cstheme="minorHAnsi"/>
          <w:lang w:val="en-US"/>
        </w:rPr>
        <w:t>do individuals</w:t>
      </w:r>
      <w:r w:rsidR="006A36C4" w:rsidRPr="00B86438">
        <w:rPr>
          <w:rFonts w:asciiTheme="minorHAnsi" w:hAnsiTheme="minorHAnsi" w:cstheme="minorHAnsi"/>
          <w:lang w:val="en-US"/>
        </w:rPr>
        <w:t xml:space="preserve"> have to offer and what experiences they need to get exposure to (and how)</w:t>
      </w:r>
      <w:r w:rsidR="001837AD" w:rsidRPr="00B86438">
        <w:rPr>
          <w:rFonts w:asciiTheme="minorHAnsi" w:hAnsiTheme="minorHAnsi" w:cstheme="minorHAnsi"/>
          <w:lang w:val="en-US"/>
        </w:rPr>
        <w:t>.</w:t>
      </w:r>
    </w:p>
    <w:p w14:paraId="74F5371A" w14:textId="20FCEC64" w:rsidR="001837AD" w:rsidRPr="00B86438" w:rsidRDefault="001837AD" w:rsidP="00A13A9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Insights in relation to how to empower our people rather than control them to undertake their work.  Need to recognize “performance effectiveness” and “potential” to have impact on themselves and impact on others – can you </w:t>
      </w:r>
      <w:proofErr w:type="gramStart"/>
      <w:r w:rsidRPr="00B86438">
        <w:rPr>
          <w:rFonts w:asciiTheme="minorHAnsi" w:hAnsiTheme="minorHAnsi" w:cstheme="minorHAnsi"/>
          <w:lang w:val="en-US"/>
        </w:rPr>
        <w:t>grow</w:t>
      </w:r>
      <w:proofErr w:type="gramEnd"/>
      <w:r w:rsidRPr="00B86438">
        <w:rPr>
          <w:rFonts w:asciiTheme="minorHAnsi" w:hAnsiTheme="minorHAnsi" w:cstheme="minorHAnsi"/>
          <w:lang w:val="en-US"/>
        </w:rPr>
        <w:t xml:space="preserve"> and can you grow other people?</w:t>
      </w:r>
      <w:r w:rsidR="000E59BA" w:rsidRPr="00B86438">
        <w:rPr>
          <w:rFonts w:asciiTheme="minorHAnsi" w:hAnsiTheme="minorHAnsi" w:cstheme="minorHAnsi"/>
          <w:lang w:val="en-US"/>
        </w:rPr>
        <w:t xml:space="preserve">  This requires a ‘culture mindset’ rather than a ‘process mindset’</w:t>
      </w:r>
    </w:p>
    <w:p w14:paraId="220586A1" w14:textId="00F3CF25" w:rsidR="00BB3F8D" w:rsidRPr="00B86438" w:rsidRDefault="00BB3F8D" w:rsidP="00A13A9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The number of critical roles is very important.  </w:t>
      </w:r>
      <w:r w:rsidR="00254B2D" w:rsidRPr="00B86438">
        <w:rPr>
          <w:rFonts w:asciiTheme="minorHAnsi" w:hAnsiTheme="minorHAnsi" w:cstheme="minorHAnsi"/>
          <w:lang w:val="en-US"/>
        </w:rPr>
        <w:t xml:space="preserve">HR practitioners need to reduce the number of roles which they are “hard-wiring” for succession and get people ready for succession who are either high performing or who have potential.  </w:t>
      </w:r>
      <w:r w:rsidR="006D428A" w:rsidRPr="00B86438">
        <w:rPr>
          <w:rFonts w:asciiTheme="minorHAnsi" w:hAnsiTheme="minorHAnsi" w:cstheme="minorHAnsi"/>
          <w:lang w:val="en-US"/>
        </w:rPr>
        <w:t>Rather than</w:t>
      </w:r>
      <w:r w:rsidR="00254B2D" w:rsidRPr="00B86438">
        <w:rPr>
          <w:rFonts w:asciiTheme="minorHAnsi" w:hAnsiTheme="minorHAnsi" w:cstheme="minorHAnsi"/>
          <w:lang w:val="en-US"/>
        </w:rPr>
        <w:t xml:space="preserve"> </w:t>
      </w:r>
      <w:r w:rsidR="006D428A" w:rsidRPr="00B86438">
        <w:rPr>
          <w:rFonts w:asciiTheme="minorHAnsi" w:hAnsiTheme="minorHAnsi" w:cstheme="minorHAnsi"/>
          <w:lang w:val="en-US"/>
        </w:rPr>
        <w:t>“</w:t>
      </w:r>
      <w:r w:rsidR="00254B2D" w:rsidRPr="00B86438">
        <w:rPr>
          <w:rFonts w:asciiTheme="minorHAnsi" w:hAnsiTheme="minorHAnsi" w:cstheme="minorHAnsi"/>
          <w:lang w:val="en-US"/>
        </w:rPr>
        <w:t>either</w:t>
      </w:r>
      <w:r w:rsidR="006D428A" w:rsidRPr="00B86438">
        <w:rPr>
          <w:rFonts w:asciiTheme="minorHAnsi" w:hAnsiTheme="minorHAnsi" w:cstheme="minorHAnsi"/>
          <w:lang w:val="en-US"/>
        </w:rPr>
        <w:t>”</w:t>
      </w:r>
      <w:proofErr w:type="gramStart"/>
      <w:r w:rsidR="006D428A" w:rsidRPr="00B86438">
        <w:rPr>
          <w:rFonts w:asciiTheme="minorHAnsi" w:hAnsiTheme="minorHAnsi" w:cstheme="minorHAnsi"/>
          <w:lang w:val="en-US"/>
        </w:rPr>
        <w:t>/”</w:t>
      </w:r>
      <w:r w:rsidR="00254B2D" w:rsidRPr="00B86438">
        <w:rPr>
          <w:rFonts w:asciiTheme="minorHAnsi" w:hAnsiTheme="minorHAnsi" w:cstheme="minorHAnsi"/>
          <w:lang w:val="en-US"/>
        </w:rPr>
        <w:t>or</w:t>
      </w:r>
      <w:proofErr w:type="gramEnd"/>
      <w:r w:rsidR="006D428A" w:rsidRPr="00B86438">
        <w:rPr>
          <w:rFonts w:asciiTheme="minorHAnsi" w:hAnsiTheme="minorHAnsi" w:cstheme="minorHAnsi"/>
          <w:lang w:val="en-US"/>
        </w:rPr>
        <w:t>”</w:t>
      </w:r>
      <w:r w:rsidR="00254B2D" w:rsidRPr="00B86438">
        <w:rPr>
          <w:rFonts w:asciiTheme="minorHAnsi" w:hAnsiTheme="minorHAnsi" w:cstheme="minorHAnsi"/>
          <w:lang w:val="en-US"/>
        </w:rPr>
        <w:t>.</w:t>
      </w:r>
    </w:p>
    <w:p w14:paraId="245E6FF9" w14:textId="1408E71D" w:rsidR="00DA2D50" w:rsidRPr="00B86438" w:rsidRDefault="00DA2D50" w:rsidP="00A13A9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lastRenderedPageBreak/>
        <w:t>Rhonda defines a critical role is “one that is absolutely imperative for the organisation if it is empty”</w:t>
      </w:r>
      <w:r w:rsidR="00B90EB8" w:rsidRPr="00B86438">
        <w:rPr>
          <w:rFonts w:asciiTheme="minorHAnsi" w:hAnsiTheme="minorHAnsi" w:cstheme="minorHAnsi"/>
          <w:lang w:val="en-US"/>
        </w:rPr>
        <w:t xml:space="preserve"> – it could be that you cannot function today, that you have a risk as the role is accountable for a series of risks that need to be managed, a critical strategy the role is required to implement, </w:t>
      </w:r>
      <w:r w:rsidR="00CF6536" w:rsidRPr="00B86438">
        <w:rPr>
          <w:rFonts w:asciiTheme="minorHAnsi" w:hAnsiTheme="minorHAnsi" w:cstheme="minorHAnsi"/>
          <w:lang w:val="en-US"/>
        </w:rPr>
        <w:t>Recheck your critical job roles every 6 months or so</w:t>
      </w:r>
      <w:r w:rsidR="00FB4337" w:rsidRPr="00B86438">
        <w:rPr>
          <w:rFonts w:asciiTheme="minorHAnsi" w:hAnsiTheme="minorHAnsi" w:cstheme="minorHAnsi"/>
          <w:lang w:val="en-US"/>
        </w:rPr>
        <w:t xml:space="preserve"> as strategies or other events impact the organisation</w:t>
      </w:r>
      <w:r w:rsidR="00CF6536" w:rsidRPr="00B86438">
        <w:rPr>
          <w:rFonts w:asciiTheme="minorHAnsi" w:hAnsiTheme="minorHAnsi" w:cstheme="minorHAnsi"/>
          <w:lang w:val="en-US"/>
        </w:rPr>
        <w:t>.</w:t>
      </w:r>
    </w:p>
    <w:p w14:paraId="3496EE3F" w14:textId="2F70CE5D" w:rsidR="0009709E" w:rsidRPr="00B86438" w:rsidRDefault="0009709E" w:rsidP="00A13A93">
      <w:pPr>
        <w:pStyle w:val="ListParagraph"/>
        <w:numPr>
          <w:ilvl w:val="0"/>
          <w:numId w:val="2"/>
        </w:numPr>
        <w:rPr>
          <w:rFonts w:asciiTheme="minorHAnsi" w:hAnsiTheme="minorHAnsi" w:cstheme="minorHAnsi"/>
          <w:lang w:val="en-US"/>
        </w:rPr>
      </w:pPr>
      <w:r w:rsidRPr="00B86438">
        <w:rPr>
          <w:rFonts w:asciiTheme="minorHAnsi" w:hAnsiTheme="minorHAnsi" w:cstheme="minorHAnsi"/>
          <w:lang w:val="en-US"/>
        </w:rPr>
        <w:t xml:space="preserve">She utilizes six elements to assess “potential” (the potential equation) – </w:t>
      </w:r>
      <w:r w:rsidR="001D15BC" w:rsidRPr="00B86438">
        <w:rPr>
          <w:rFonts w:asciiTheme="minorHAnsi" w:hAnsiTheme="minorHAnsi" w:cstheme="minorHAnsi"/>
          <w:lang w:val="en-US"/>
        </w:rPr>
        <w:t xml:space="preserve">performance, curiosity, openness to growth, open to disruption and resilience to respond, comfortable with high degree of ambiguity </w:t>
      </w:r>
    </w:p>
    <w:p w14:paraId="7C7B6F12" w14:textId="1476F5C6" w:rsidR="006A36C4" w:rsidRPr="00B86438" w:rsidRDefault="006A36C4" w:rsidP="006A36C4">
      <w:pPr>
        <w:rPr>
          <w:rFonts w:asciiTheme="minorHAnsi" w:hAnsiTheme="minorHAnsi" w:cstheme="minorHAnsi"/>
          <w:lang w:val="en-US"/>
        </w:rPr>
      </w:pPr>
    </w:p>
    <w:p w14:paraId="045ACA56" w14:textId="0F2E9E2F" w:rsidR="00D649F8" w:rsidRPr="00B86438" w:rsidRDefault="00B86438" w:rsidP="00D649F8">
      <w:pPr>
        <w:rPr>
          <w:rFonts w:asciiTheme="minorHAnsi" w:hAnsiTheme="minorHAnsi" w:cstheme="minorHAnsi"/>
        </w:rPr>
      </w:pPr>
      <w:r w:rsidRPr="00B86438">
        <w:rPr>
          <w:rFonts w:asciiTheme="minorHAnsi" w:hAnsiTheme="minorHAnsi" w:cstheme="minorHAnsi"/>
        </w:rPr>
        <w:t>References referred to in Rhonda’s interview:</w:t>
      </w:r>
    </w:p>
    <w:p w14:paraId="015A682A" w14:textId="77777777" w:rsidR="00D649F8" w:rsidRPr="00B86438" w:rsidRDefault="00D649F8" w:rsidP="00D649F8">
      <w:pPr>
        <w:rPr>
          <w:rFonts w:asciiTheme="minorHAnsi" w:hAnsiTheme="minorHAnsi" w:cstheme="minorHAnsi"/>
        </w:rPr>
      </w:pPr>
    </w:p>
    <w:p w14:paraId="1176DB13" w14:textId="4013EE71" w:rsidR="00B86438" w:rsidRDefault="00B86438" w:rsidP="00B86438">
      <w:pPr>
        <w:pStyle w:val="ListParagraph"/>
        <w:numPr>
          <w:ilvl w:val="0"/>
          <w:numId w:val="3"/>
        </w:numPr>
        <w:rPr>
          <w:rFonts w:asciiTheme="minorHAnsi" w:hAnsiTheme="minorHAnsi" w:cstheme="minorHAnsi"/>
        </w:rPr>
      </w:pPr>
      <w:r w:rsidRPr="00B86438">
        <w:rPr>
          <w:rFonts w:asciiTheme="minorHAnsi" w:hAnsiTheme="minorHAnsi" w:cstheme="minorHAnsi"/>
        </w:rPr>
        <w:t>Kruger, Justin; Dunning, David (1999). "Unskilled and Unaware of It: How Difficulties in Recognizing One's Own Incompetence Lead to Inflated Self-Assessments". Journal of Personality and Social Psychology. 77 (6): 1121–1134</w:t>
      </w:r>
    </w:p>
    <w:p w14:paraId="072B41F2" w14:textId="3EB1524D" w:rsidR="00D649F8" w:rsidRPr="00B86438" w:rsidRDefault="00B86438" w:rsidP="00D649F8">
      <w:pPr>
        <w:pStyle w:val="ListParagraph"/>
        <w:numPr>
          <w:ilvl w:val="0"/>
          <w:numId w:val="3"/>
        </w:numPr>
        <w:rPr>
          <w:rFonts w:asciiTheme="minorHAnsi" w:hAnsiTheme="minorHAnsi" w:cstheme="minorHAnsi"/>
        </w:rPr>
      </w:pPr>
      <w:r>
        <w:rPr>
          <w:rFonts w:asciiTheme="minorHAnsi" w:hAnsiTheme="minorHAnsi" w:cstheme="minorHAnsi"/>
        </w:rPr>
        <w:t xml:space="preserve">Bond, Michael (2020).  </w:t>
      </w:r>
      <w:r w:rsidR="00D649F8" w:rsidRPr="00B86438">
        <w:rPr>
          <w:rFonts w:asciiTheme="minorHAnsi" w:hAnsiTheme="minorHAnsi" w:cstheme="minorHAnsi"/>
        </w:rPr>
        <w:t xml:space="preserve">From Here to There:  The Art and Science of Finding and Losing Our Way, </w:t>
      </w:r>
      <w:proofErr w:type="spellStart"/>
      <w:r w:rsidRPr="00B86438">
        <w:rPr>
          <w:rFonts w:asciiTheme="minorHAnsi" w:hAnsiTheme="minorHAnsi" w:cstheme="minorHAnsi"/>
        </w:rPr>
        <w:t>Belknap</w:t>
      </w:r>
      <w:proofErr w:type="spellEnd"/>
      <w:r w:rsidRPr="00B86438">
        <w:rPr>
          <w:rFonts w:asciiTheme="minorHAnsi" w:hAnsiTheme="minorHAnsi" w:cstheme="minorHAnsi"/>
        </w:rPr>
        <w:t xml:space="preserve"> Press: An Imprint of Harvard University Press </w:t>
      </w:r>
    </w:p>
    <w:p w14:paraId="781C0F1D" w14:textId="28C17F2F" w:rsidR="00D649F8" w:rsidRPr="00B86438" w:rsidRDefault="00B86438" w:rsidP="00B86438">
      <w:pPr>
        <w:pStyle w:val="ListParagraph"/>
        <w:numPr>
          <w:ilvl w:val="0"/>
          <w:numId w:val="3"/>
        </w:numPr>
        <w:rPr>
          <w:rFonts w:asciiTheme="minorHAnsi" w:hAnsiTheme="minorHAnsi" w:cstheme="minorHAnsi"/>
        </w:rPr>
      </w:pPr>
      <w:r>
        <w:rPr>
          <w:rFonts w:asciiTheme="minorHAnsi" w:hAnsiTheme="minorHAnsi" w:cstheme="minorHAnsi"/>
        </w:rPr>
        <w:t xml:space="preserve">Bond, Michael (2015) </w:t>
      </w:r>
      <w:r w:rsidR="00D649F8" w:rsidRPr="00B86438">
        <w:rPr>
          <w:rFonts w:asciiTheme="minorHAnsi" w:hAnsiTheme="minorHAnsi" w:cstheme="minorHAnsi"/>
        </w:rPr>
        <w:t>The Power of Others: Peer Pressure, Groupthink, and How the People Around Us Shape Everything We Do,</w:t>
      </w:r>
      <w:r>
        <w:rPr>
          <w:rFonts w:asciiTheme="minorHAnsi" w:hAnsiTheme="minorHAnsi" w:cstheme="minorHAnsi"/>
        </w:rPr>
        <w:t xml:space="preserve"> </w:t>
      </w:r>
      <w:proofErr w:type="spellStart"/>
      <w:r w:rsidRPr="00B86438">
        <w:rPr>
          <w:rFonts w:asciiTheme="minorHAnsi" w:hAnsiTheme="minorHAnsi" w:cstheme="minorHAnsi"/>
        </w:rPr>
        <w:t>Oneworld</w:t>
      </w:r>
      <w:proofErr w:type="spellEnd"/>
      <w:r w:rsidRPr="00B86438">
        <w:rPr>
          <w:rFonts w:asciiTheme="minorHAnsi" w:hAnsiTheme="minorHAnsi" w:cstheme="minorHAnsi"/>
        </w:rPr>
        <w:t xml:space="preserve"> Publications</w:t>
      </w:r>
    </w:p>
    <w:p w14:paraId="1D6B427B" w14:textId="28A2FA37" w:rsidR="00DE6F03" w:rsidRPr="00B86438" w:rsidRDefault="00B86438" w:rsidP="00B86438">
      <w:pPr>
        <w:pStyle w:val="ListParagraph"/>
        <w:numPr>
          <w:ilvl w:val="0"/>
          <w:numId w:val="3"/>
        </w:numPr>
        <w:rPr>
          <w:rFonts w:asciiTheme="minorHAnsi" w:hAnsiTheme="minorHAnsi" w:cstheme="minorHAnsi"/>
        </w:rPr>
      </w:pPr>
      <w:r w:rsidRPr="00B86438">
        <w:rPr>
          <w:rFonts w:asciiTheme="minorHAnsi" w:hAnsiTheme="minorHAnsi" w:cstheme="minorHAnsi"/>
        </w:rPr>
        <w:t>Pfeffer</w:t>
      </w:r>
      <w:r w:rsidRPr="00B86438">
        <w:rPr>
          <w:rFonts w:asciiTheme="minorHAnsi" w:hAnsiTheme="minorHAnsi" w:cstheme="minorHAnsi"/>
        </w:rPr>
        <w:t>, Jeffrey (</w:t>
      </w:r>
      <w:r>
        <w:rPr>
          <w:rFonts w:asciiTheme="minorHAnsi" w:hAnsiTheme="minorHAnsi" w:cstheme="minorHAnsi"/>
        </w:rPr>
        <w:t xml:space="preserve">2018).  </w:t>
      </w:r>
      <w:r w:rsidR="00DE6F03" w:rsidRPr="00B86438">
        <w:rPr>
          <w:rFonts w:asciiTheme="minorHAnsi" w:hAnsiTheme="minorHAnsi" w:cstheme="minorHAnsi"/>
        </w:rPr>
        <w:t xml:space="preserve">Dying for a </w:t>
      </w:r>
      <w:proofErr w:type="spellStart"/>
      <w:r w:rsidR="00DE6F03" w:rsidRPr="00B86438">
        <w:rPr>
          <w:rFonts w:asciiTheme="minorHAnsi" w:hAnsiTheme="minorHAnsi" w:cstheme="minorHAnsi"/>
        </w:rPr>
        <w:t>Paycheck</w:t>
      </w:r>
      <w:proofErr w:type="spellEnd"/>
      <w:r w:rsidR="00DE6F03" w:rsidRPr="00B86438">
        <w:rPr>
          <w:rFonts w:asciiTheme="minorHAnsi" w:hAnsiTheme="minorHAnsi" w:cstheme="minorHAnsi"/>
        </w:rPr>
        <w:t xml:space="preserve">: How Modern Management Harms Employee Health and Company Performance―and What We Can Do About It, </w:t>
      </w:r>
      <w:r w:rsidRPr="00B86438">
        <w:rPr>
          <w:rFonts w:asciiTheme="minorHAnsi" w:hAnsiTheme="minorHAnsi" w:cstheme="minorHAnsi"/>
        </w:rPr>
        <w:t>Harper Business</w:t>
      </w:r>
    </w:p>
    <w:p w14:paraId="682FDCB8" w14:textId="0D200082" w:rsidR="005C270D" w:rsidRPr="00B86438" w:rsidRDefault="00B86438" w:rsidP="00B86438">
      <w:pPr>
        <w:pStyle w:val="ListParagraph"/>
        <w:numPr>
          <w:ilvl w:val="0"/>
          <w:numId w:val="3"/>
        </w:numPr>
        <w:rPr>
          <w:rFonts w:asciiTheme="minorHAnsi" w:hAnsiTheme="minorHAnsi" w:cstheme="minorHAnsi"/>
        </w:rPr>
      </w:pPr>
      <w:hyperlink r:id="rId5" w:history="1">
        <w:r w:rsidR="005C270D" w:rsidRPr="00B86438">
          <w:rPr>
            <w:rStyle w:val="Hyperlink"/>
            <w:rFonts w:asciiTheme="minorHAnsi" w:hAnsiTheme="minorHAnsi" w:cstheme="minorHAnsi"/>
          </w:rPr>
          <w:t>https://bcec.edu.au/about/people/rebecca-cassells/</w:t>
        </w:r>
      </w:hyperlink>
      <w:r w:rsidR="005C270D" w:rsidRPr="00B86438">
        <w:rPr>
          <w:rFonts w:asciiTheme="minorHAnsi" w:hAnsiTheme="minorHAnsi" w:cstheme="minorHAnsi"/>
        </w:rPr>
        <w:t xml:space="preserve"> - </w:t>
      </w:r>
      <w:hyperlink r:id="rId6" w:history="1">
        <w:r w:rsidR="005C270D" w:rsidRPr="00B86438">
          <w:rPr>
            <w:rStyle w:val="Hyperlink"/>
            <w:rFonts w:asciiTheme="minorHAnsi" w:hAnsiTheme="minorHAnsi" w:cstheme="minorHAnsi"/>
          </w:rPr>
          <w:t>https://bcec.edu.au/publications/gender-equity-insights-2020-delivering-the-business-outcomes/</w:t>
        </w:r>
      </w:hyperlink>
      <w:r w:rsidR="005C270D" w:rsidRPr="00B86438">
        <w:rPr>
          <w:rFonts w:asciiTheme="minorHAnsi" w:hAnsiTheme="minorHAnsi" w:cstheme="minorHAnsi"/>
        </w:rPr>
        <w:t xml:space="preserve"> </w:t>
      </w:r>
    </w:p>
    <w:p w14:paraId="427A9986" w14:textId="77777777" w:rsidR="005C270D" w:rsidRPr="00B86438" w:rsidRDefault="00B86438" w:rsidP="00B86438">
      <w:pPr>
        <w:pStyle w:val="ListParagraph"/>
        <w:numPr>
          <w:ilvl w:val="0"/>
          <w:numId w:val="3"/>
        </w:numPr>
        <w:rPr>
          <w:rFonts w:asciiTheme="minorHAnsi" w:hAnsiTheme="minorHAnsi" w:cstheme="minorHAnsi"/>
        </w:rPr>
      </w:pPr>
      <w:hyperlink r:id="rId7" w:history="1">
        <w:r w:rsidR="005C270D" w:rsidRPr="00B86438">
          <w:rPr>
            <w:rStyle w:val="Hyperlink"/>
            <w:rFonts w:asciiTheme="minorHAnsi" w:hAnsiTheme="minorHAnsi" w:cstheme="minorHAnsi"/>
          </w:rPr>
          <w:t>https://bcec.edu.au/projects/analyses-and-research-based-on-the-wgea-reporting-data-description-of-services/</w:t>
        </w:r>
      </w:hyperlink>
    </w:p>
    <w:p w14:paraId="27E12CA7" w14:textId="77777777" w:rsidR="004D1CB2" w:rsidRPr="00B86438" w:rsidRDefault="00B86438" w:rsidP="00B86438">
      <w:pPr>
        <w:pStyle w:val="ListParagraph"/>
        <w:numPr>
          <w:ilvl w:val="0"/>
          <w:numId w:val="3"/>
        </w:numPr>
        <w:rPr>
          <w:rFonts w:asciiTheme="minorHAnsi" w:hAnsiTheme="minorHAnsi" w:cstheme="minorHAnsi"/>
        </w:rPr>
      </w:pPr>
      <w:hyperlink r:id="rId8" w:history="1">
        <w:r w:rsidR="004D1CB2" w:rsidRPr="00B86438">
          <w:rPr>
            <w:rStyle w:val="Hyperlink"/>
            <w:rFonts w:asciiTheme="minorHAnsi" w:hAnsiTheme="minorHAnsi" w:cstheme="minorHAnsi"/>
          </w:rPr>
          <w:t>https://www.sydney.edu.au/business/about/our-people/academic-staff/dimitria-groutsis.html</w:t>
        </w:r>
      </w:hyperlink>
    </w:p>
    <w:p w14:paraId="582A8187" w14:textId="77777777" w:rsidR="004D1CB2" w:rsidRPr="00B86438" w:rsidRDefault="00B86438" w:rsidP="00B86438">
      <w:pPr>
        <w:pStyle w:val="ListParagraph"/>
        <w:numPr>
          <w:ilvl w:val="0"/>
          <w:numId w:val="3"/>
        </w:numPr>
        <w:rPr>
          <w:rFonts w:asciiTheme="minorHAnsi" w:hAnsiTheme="minorHAnsi" w:cstheme="minorHAnsi"/>
        </w:rPr>
      </w:pPr>
      <w:hyperlink r:id="rId9" w:history="1">
        <w:r w:rsidR="004D1CB2" w:rsidRPr="00B86438">
          <w:rPr>
            <w:rStyle w:val="Hyperlink"/>
            <w:rFonts w:asciiTheme="minorHAnsi" w:hAnsiTheme="minorHAnsi" w:cstheme="minorHAnsi"/>
          </w:rPr>
          <w:t>https://www.sydney.edu.au/business/about/our-people/academic-staff/diane-vandenbroek.html</w:t>
        </w:r>
      </w:hyperlink>
    </w:p>
    <w:p w14:paraId="0735356B" w14:textId="77777777" w:rsidR="004D1CB2" w:rsidRPr="00B86438" w:rsidRDefault="00B86438" w:rsidP="00B86438">
      <w:pPr>
        <w:pStyle w:val="ListParagraph"/>
        <w:numPr>
          <w:ilvl w:val="0"/>
          <w:numId w:val="3"/>
        </w:numPr>
        <w:rPr>
          <w:rFonts w:asciiTheme="minorHAnsi" w:hAnsiTheme="minorHAnsi" w:cstheme="minorHAnsi"/>
        </w:rPr>
      </w:pPr>
      <w:hyperlink r:id="rId10" w:history="1">
        <w:r w:rsidR="004D1CB2" w:rsidRPr="00B86438">
          <w:rPr>
            <w:rStyle w:val="Hyperlink"/>
            <w:rFonts w:asciiTheme="minorHAnsi" w:hAnsiTheme="minorHAnsi" w:cstheme="minorHAnsi"/>
          </w:rPr>
          <w:t>https://www.drjohnboudreau.com/</w:t>
        </w:r>
      </w:hyperlink>
    </w:p>
    <w:p w14:paraId="393CE0B9" w14:textId="0F33614E" w:rsidR="005C270D" w:rsidRPr="00B86438" w:rsidRDefault="005C270D" w:rsidP="005C270D">
      <w:pPr>
        <w:rPr>
          <w:rFonts w:asciiTheme="minorHAnsi" w:hAnsiTheme="minorHAnsi" w:cstheme="minorHAnsi"/>
        </w:rPr>
      </w:pPr>
    </w:p>
    <w:p w14:paraId="15DF0480" w14:textId="77777777" w:rsidR="005C270D" w:rsidRPr="00B86438" w:rsidRDefault="005C270D" w:rsidP="00D649F8">
      <w:pPr>
        <w:rPr>
          <w:rFonts w:asciiTheme="minorHAnsi" w:hAnsiTheme="minorHAnsi" w:cstheme="minorHAnsi"/>
        </w:rPr>
      </w:pPr>
    </w:p>
    <w:p w14:paraId="6019F50A" w14:textId="77777777" w:rsidR="00D649F8" w:rsidRPr="00B86438" w:rsidRDefault="00D649F8" w:rsidP="00D649F8">
      <w:pPr>
        <w:rPr>
          <w:rFonts w:asciiTheme="minorHAnsi" w:hAnsiTheme="minorHAnsi" w:cstheme="minorHAnsi"/>
        </w:rPr>
      </w:pPr>
    </w:p>
    <w:sectPr w:rsidR="00D649F8" w:rsidRPr="00B86438" w:rsidSect="00EC31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1AFD"/>
    <w:multiLevelType w:val="hybridMultilevel"/>
    <w:tmpl w:val="3F7E5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066422"/>
    <w:multiLevelType w:val="hybridMultilevel"/>
    <w:tmpl w:val="6678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7291B"/>
    <w:multiLevelType w:val="hybridMultilevel"/>
    <w:tmpl w:val="69C0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DA"/>
    <w:rsid w:val="00003E57"/>
    <w:rsid w:val="000809A5"/>
    <w:rsid w:val="0009709E"/>
    <w:rsid w:val="000A467F"/>
    <w:rsid w:val="000E59BA"/>
    <w:rsid w:val="00130BC9"/>
    <w:rsid w:val="00171828"/>
    <w:rsid w:val="00174556"/>
    <w:rsid w:val="00174E41"/>
    <w:rsid w:val="001837AD"/>
    <w:rsid w:val="001C5746"/>
    <w:rsid w:val="001D15BC"/>
    <w:rsid w:val="001D505B"/>
    <w:rsid w:val="001F02E9"/>
    <w:rsid w:val="001F4B33"/>
    <w:rsid w:val="00254B2D"/>
    <w:rsid w:val="00265D7D"/>
    <w:rsid w:val="002C089F"/>
    <w:rsid w:val="0030624D"/>
    <w:rsid w:val="003349F3"/>
    <w:rsid w:val="003A4168"/>
    <w:rsid w:val="003C57B5"/>
    <w:rsid w:val="003C7D63"/>
    <w:rsid w:val="00406FE3"/>
    <w:rsid w:val="004433A4"/>
    <w:rsid w:val="00480DB8"/>
    <w:rsid w:val="00497056"/>
    <w:rsid w:val="004B374E"/>
    <w:rsid w:val="004B480B"/>
    <w:rsid w:val="004D1CB2"/>
    <w:rsid w:val="004E53DA"/>
    <w:rsid w:val="004F3011"/>
    <w:rsid w:val="00524BAC"/>
    <w:rsid w:val="005359DB"/>
    <w:rsid w:val="005C270D"/>
    <w:rsid w:val="006254CE"/>
    <w:rsid w:val="006666B9"/>
    <w:rsid w:val="00680683"/>
    <w:rsid w:val="006A36C4"/>
    <w:rsid w:val="006D428A"/>
    <w:rsid w:val="006F4A72"/>
    <w:rsid w:val="007035A5"/>
    <w:rsid w:val="00714EAE"/>
    <w:rsid w:val="007D46BD"/>
    <w:rsid w:val="007E479A"/>
    <w:rsid w:val="00826147"/>
    <w:rsid w:val="008377E1"/>
    <w:rsid w:val="00843633"/>
    <w:rsid w:val="0086259F"/>
    <w:rsid w:val="008645EB"/>
    <w:rsid w:val="009E2BD6"/>
    <w:rsid w:val="009E4099"/>
    <w:rsid w:val="00A2201D"/>
    <w:rsid w:val="00A77333"/>
    <w:rsid w:val="00AA7FA3"/>
    <w:rsid w:val="00AD3523"/>
    <w:rsid w:val="00AE1147"/>
    <w:rsid w:val="00AE36BD"/>
    <w:rsid w:val="00AF2F6C"/>
    <w:rsid w:val="00B03F38"/>
    <w:rsid w:val="00B33A5B"/>
    <w:rsid w:val="00B66777"/>
    <w:rsid w:val="00B66CAA"/>
    <w:rsid w:val="00B76544"/>
    <w:rsid w:val="00B86438"/>
    <w:rsid w:val="00B90EB8"/>
    <w:rsid w:val="00BB3F8D"/>
    <w:rsid w:val="00BC57D6"/>
    <w:rsid w:val="00C03E0B"/>
    <w:rsid w:val="00C54D12"/>
    <w:rsid w:val="00C717BF"/>
    <w:rsid w:val="00C85B8E"/>
    <w:rsid w:val="00CF6536"/>
    <w:rsid w:val="00D5403D"/>
    <w:rsid w:val="00D63028"/>
    <w:rsid w:val="00D649F8"/>
    <w:rsid w:val="00D934F5"/>
    <w:rsid w:val="00DA2D50"/>
    <w:rsid w:val="00DD1127"/>
    <w:rsid w:val="00DD770B"/>
    <w:rsid w:val="00DE6F03"/>
    <w:rsid w:val="00E05DDC"/>
    <w:rsid w:val="00E16B0B"/>
    <w:rsid w:val="00EB15BD"/>
    <w:rsid w:val="00EB6048"/>
    <w:rsid w:val="00EC3111"/>
    <w:rsid w:val="00F15D94"/>
    <w:rsid w:val="00F16305"/>
    <w:rsid w:val="00F22530"/>
    <w:rsid w:val="00F7405D"/>
    <w:rsid w:val="00FB4337"/>
    <w:rsid w:val="00FC482E"/>
    <w:rsid w:val="00FC6765"/>
    <w:rsid w:val="00FF4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2AAA080"/>
  <w15:chartTrackingRefBased/>
  <w15:docId w15:val="{C688ADDA-7E6F-B542-A187-A3D3149E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F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5D94"/>
  </w:style>
  <w:style w:type="paragraph" w:styleId="ListParagraph">
    <w:name w:val="List Paragraph"/>
    <w:basedOn w:val="Normal"/>
    <w:uiPriority w:val="34"/>
    <w:qFormat/>
    <w:rsid w:val="00F15D94"/>
    <w:pPr>
      <w:ind w:left="720"/>
      <w:contextualSpacing/>
    </w:pPr>
  </w:style>
  <w:style w:type="character" w:styleId="Hyperlink">
    <w:name w:val="Hyperlink"/>
    <w:basedOn w:val="DefaultParagraphFont"/>
    <w:uiPriority w:val="99"/>
    <w:semiHidden/>
    <w:unhideWhenUsed/>
    <w:rsid w:val="00D64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832">
      <w:bodyDiv w:val="1"/>
      <w:marLeft w:val="0"/>
      <w:marRight w:val="0"/>
      <w:marTop w:val="0"/>
      <w:marBottom w:val="0"/>
      <w:divBdr>
        <w:top w:val="none" w:sz="0" w:space="0" w:color="auto"/>
        <w:left w:val="none" w:sz="0" w:space="0" w:color="auto"/>
        <w:bottom w:val="none" w:sz="0" w:space="0" w:color="auto"/>
        <w:right w:val="none" w:sz="0" w:space="0" w:color="auto"/>
      </w:divBdr>
    </w:div>
    <w:div w:id="345791476">
      <w:bodyDiv w:val="1"/>
      <w:marLeft w:val="0"/>
      <w:marRight w:val="0"/>
      <w:marTop w:val="0"/>
      <w:marBottom w:val="0"/>
      <w:divBdr>
        <w:top w:val="none" w:sz="0" w:space="0" w:color="auto"/>
        <w:left w:val="none" w:sz="0" w:space="0" w:color="auto"/>
        <w:bottom w:val="none" w:sz="0" w:space="0" w:color="auto"/>
        <w:right w:val="none" w:sz="0" w:space="0" w:color="auto"/>
      </w:divBdr>
    </w:div>
    <w:div w:id="398599259">
      <w:bodyDiv w:val="1"/>
      <w:marLeft w:val="0"/>
      <w:marRight w:val="0"/>
      <w:marTop w:val="0"/>
      <w:marBottom w:val="0"/>
      <w:divBdr>
        <w:top w:val="none" w:sz="0" w:space="0" w:color="auto"/>
        <w:left w:val="none" w:sz="0" w:space="0" w:color="auto"/>
        <w:bottom w:val="none" w:sz="0" w:space="0" w:color="auto"/>
        <w:right w:val="none" w:sz="0" w:space="0" w:color="auto"/>
      </w:divBdr>
    </w:div>
    <w:div w:id="446046846">
      <w:bodyDiv w:val="1"/>
      <w:marLeft w:val="0"/>
      <w:marRight w:val="0"/>
      <w:marTop w:val="0"/>
      <w:marBottom w:val="0"/>
      <w:divBdr>
        <w:top w:val="none" w:sz="0" w:space="0" w:color="auto"/>
        <w:left w:val="none" w:sz="0" w:space="0" w:color="auto"/>
        <w:bottom w:val="none" w:sz="0" w:space="0" w:color="auto"/>
        <w:right w:val="none" w:sz="0" w:space="0" w:color="auto"/>
      </w:divBdr>
      <w:divsChild>
        <w:div w:id="1417944283">
          <w:marLeft w:val="0"/>
          <w:marRight w:val="0"/>
          <w:marTop w:val="0"/>
          <w:marBottom w:val="120"/>
          <w:divBdr>
            <w:top w:val="none" w:sz="0" w:space="0" w:color="auto"/>
            <w:left w:val="none" w:sz="0" w:space="0" w:color="auto"/>
            <w:bottom w:val="none" w:sz="0" w:space="0" w:color="auto"/>
            <w:right w:val="none" w:sz="0" w:space="0" w:color="auto"/>
          </w:divBdr>
          <w:divsChild>
            <w:div w:id="1443527894">
              <w:marLeft w:val="0"/>
              <w:marRight w:val="0"/>
              <w:marTop w:val="0"/>
              <w:marBottom w:val="0"/>
              <w:divBdr>
                <w:top w:val="none" w:sz="0" w:space="0" w:color="auto"/>
                <w:left w:val="none" w:sz="0" w:space="0" w:color="auto"/>
                <w:bottom w:val="none" w:sz="0" w:space="0" w:color="auto"/>
                <w:right w:val="none" w:sz="0" w:space="0" w:color="auto"/>
              </w:divBdr>
              <w:divsChild>
                <w:div w:id="109321290">
                  <w:marLeft w:val="0"/>
                  <w:marRight w:val="0"/>
                  <w:marTop w:val="0"/>
                  <w:marBottom w:val="0"/>
                  <w:divBdr>
                    <w:top w:val="none" w:sz="0" w:space="0" w:color="auto"/>
                    <w:left w:val="none" w:sz="0" w:space="0" w:color="auto"/>
                    <w:bottom w:val="none" w:sz="0" w:space="0" w:color="auto"/>
                    <w:right w:val="none" w:sz="0" w:space="0" w:color="auto"/>
                  </w:divBdr>
                  <w:divsChild>
                    <w:div w:id="17337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79169">
      <w:bodyDiv w:val="1"/>
      <w:marLeft w:val="0"/>
      <w:marRight w:val="0"/>
      <w:marTop w:val="0"/>
      <w:marBottom w:val="0"/>
      <w:divBdr>
        <w:top w:val="none" w:sz="0" w:space="0" w:color="auto"/>
        <w:left w:val="none" w:sz="0" w:space="0" w:color="auto"/>
        <w:bottom w:val="none" w:sz="0" w:space="0" w:color="auto"/>
        <w:right w:val="none" w:sz="0" w:space="0" w:color="auto"/>
      </w:divBdr>
    </w:div>
    <w:div w:id="725178891">
      <w:bodyDiv w:val="1"/>
      <w:marLeft w:val="0"/>
      <w:marRight w:val="0"/>
      <w:marTop w:val="0"/>
      <w:marBottom w:val="0"/>
      <w:divBdr>
        <w:top w:val="none" w:sz="0" w:space="0" w:color="auto"/>
        <w:left w:val="none" w:sz="0" w:space="0" w:color="auto"/>
        <w:bottom w:val="none" w:sz="0" w:space="0" w:color="auto"/>
        <w:right w:val="none" w:sz="0" w:space="0" w:color="auto"/>
      </w:divBdr>
    </w:div>
    <w:div w:id="728117613">
      <w:bodyDiv w:val="1"/>
      <w:marLeft w:val="0"/>
      <w:marRight w:val="0"/>
      <w:marTop w:val="0"/>
      <w:marBottom w:val="0"/>
      <w:divBdr>
        <w:top w:val="none" w:sz="0" w:space="0" w:color="auto"/>
        <w:left w:val="none" w:sz="0" w:space="0" w:color="auto"/>
        <w:bottom w:val="none" w:sz="0" w:space="0" w:color="auto"/>
        <w:right w:val="none" w:sz="0" w:space="0" w:color="auto"/>
      </w:divBdr>
    </w:div>
    <w:div w:id="1212231257">
      <w:bodyDiv w:val="1"/>
      <w:marLeft w:val="0"/>
      <w:marRight w:val="0"/>
      <w:marTop w:val="0"/>
      <w:marBottom w:val="0"/>
      <w:divBdr>
        <w:top w:val="none" w:sz="0" w:space="0" w:color="auto"/>
        <w:left w:val="none" w:sz="0" w:space="0" w:color="auto"/>
        <w:bottom w:val="none" w:sz="0" w:space="0" w:color="auto"/>
        <w:right w:val="none" w:sz="0" w:space="0" w:color="auto"/>
      </w:divBdr>
    </w:div>
    <w:div w:id="1491099629">
      <w:bodyDiv w:val="1"/>
      <w:marLeft w:val="0"/>
      <w:marRight w:val="0"/>
      <w:marTop w:val="0"/>
      <w:marBottom w:val="0"/>
      <w:divBdr>
        <w:top w:val="none" w:sz="0" w:space="0" w:color="auto"/>
        <w:left w:val="none" w:sz="0" w:space="0" w:color="auto"/>
        <w:bottom w:val="none" w:sz="0" w:space="0" w:color="auto"/>
        <w:right w:val="none" w:sz="0" w:space="0" w:color="auto"/>
      </w:divBdr>
    </w:div>
    <w:div w:id="1515266324">
      <w:bodyDiv w:val="1"/>
      <w:marLeft w:val="0"/>
      <w:marRight w:val="0"/>
      <w:marTop w:val="0"/>
      <w:marBottom w:val="0"/>
      <w:divBdr>
        <w:top w:val="none" w:sz="0" w:space="0" w:color="auto"/>
        <w:left w:val="none" w:sz="0" w:space="0" w:color="auto"/>
        <w:bottom w:val="none" w:sz="0" w:space="0" w:color="auto"/>
        <w:right w:val="none" w:sz="0" w:space="0" w:color="auto"/>
      </w:divBdr>
    </w:div>
    <w:div w:id="1549877066">
      <w:bodyDiv w:val="1"/>
      <w:marLeft w:val="0"/>
      <w:marRight w:val="0"/>
      <w:marTop w:val="0"/>
      <w:marBottom w:val="0"/>
      <w:divBdr>
        <w:top w:val="none" w:sz="0" w:space="0" w:color="auto"/>
        <w:left w:val="none" w:sz="0" w:space="0" w:color="auto"/>
        <w:bottom w:val="none" w:sz="0" w:space="0" w:color="auto"/>
        <w:right w:val="none" w:sz="0" w:space="0" w:color="auto"/>
      </w:divBdr>
    </w:div>
    <w:div w:id="1631856152">
      <w:bodyDiv w:val="1"/>
      <w:marLeft w:val="0"/>
      <w:marRight w:val="0"/>
      <w:marTop w:val="0"/>
      <w:marBottom w:val="0"/>
      <w:divBdr>
        <w:top w:val="none" w:sz="0" w:space="0" w:color="auto"/>
        <w:left w:val="none" w:sz="0" w:space="0" w:color="auto"/>
        <w:bottom w:val="none" w:sz="0" w:space="0" w:color="auto"/>
        <w:right w:val="none" w:sz="0" w:space="0" w:color="auto"/>
      </w:divBdr>
      <w:divsChild>
        <w:div w:id="744374122">
          <w:marLeft w:val="0"/>
          <w:marRight w:val="0"/>
          <w:marTop w:val="240"/>
          <w:marBottom w:val="0"/>
          <w:divBdr>
            <w:top w:val="none" w:sz="0" w:space="0" w:color="auto"/>
            <w:left w:val="none" w:sz="0" w:space="0" w:color="auto"/>
            <w:bottom w:val="none" w:sz="0" w:space="0" w:color="auto"/>
            <w:right w:val="none" w:sz="0" w:space="0" w:color="auto"/>
          </w:divBdr>
        </w:div>
      </w:divsChild>
    </w:div>
    <w:div w:id="1962346262">
      <w:bodyDiv w:val="1"/>
      <w:marLeft w:val="0"/>
      <w:marRight w:val="0"/>
      <w:marTop w:val="0"/>
      <w:marBottom w:val="0"/>
      <w:divBdr>
        <w:top w:val="none" w:sz="0" w:space="0" w:color="auto"/>
        <w:left w:val="none" w:sz="0" w:space="0" w:color="auto"/>
        <w:bottom w:val="none" w:sz="0" w:space="0" w:color="auto"/>
        <w:right w:val="none" w:sz="0" w:space="0" w:color="auto"/>
      </w:divBdr>
    </w:div>
    <w:div w:id="2021542831">
      <w:bodyDiv w:val="1"/>
      <w:marLeft w:val="0"/>
      <w:marRight w:val="0"/>
      <w:marTop w:val="0"/>
      <w:marBottom w:val="0"/>
      <w:divBdr>
        <w:top w:val="none" w:sz="0" w:space="0" w:color="auto"/>
        <w:left w:val="none" w:sz="0" w:space="0" w:color="auto"/>
        <w:bottom w:val="none" w:sz="0" w:space="0" w:color="auto"/>
        <w:right w:val="none" w:sz="0" w:space="0" w:color="auto"/>
      </w:divBdr>
    </w:div>
    <w:div w:id="2026638623">
      <w:bodyDiv w:val="1"/>
      <w:marLeft w:val="0"/>
      <w:marRight w:val="0"/>
      <w:marTop w:val="0"/>
      <w:marBottom w:val="0"/>
      <w:divBdr>
        <w:top w:val="none" w:sz="0" w:space="0" w:color="auto"/>
        <w:left w:val="none" w:sz="0" w:space="0" w:color="auto"/>
        <w:bottom w:val="none" w:sz="0" w:space="0" w:color="auto"/>
        <w:right w:val="none" w:sz="0" w:space="0" w:color="auto"/>
      </w:divBdr>
    </w:div>
    <w:div w:id="20278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ydney.edu.au/business/about/our-people/academic-staff/dimitria-groutsis.html" TargetMode="External" Id="rId8" /><Relationship Type="http://schemas.openxmlformats.org/officeDocument/2006/relationships/settings" Target="settings.xml" Id="rId3" /><Relationship Type="http://schemas.openxmlformats.org/officeDocument/2006/relationships/hyperlink" Target="https://bcec.edu.au/projects/analyses-and-research-based-on-the-wgea-reporting-data-description-of-service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bcec.edu.au/publications/gender-equity-insights-2020-delivering-the-business-outcomes/" TargetMode="External" Id="rId6" /><Relationship Type="http://schemas.openxmlformats.org/officeDocument/2006/relationships/fontTable" Target="fontTable.xml" Id="rId11" /><Relationship Type="http://schemas.openxmlformats.org/officeDocument/2006/relationships/hyperlink" Target="https://bcec.edu.au/about/people/rebecca-cassells/" TargetMode="External" Id="rId5" /><Relationship Type="http://schemas.openxmlformats.org/officeDocument/2006/relationships/hyperlink" Target="https://www.drjohnboudreau.com/" TargetMode="External" Id="rId10" /><Relationship Type="http://schemas.openxmlformats.org/officeDocument/2006/relationships/webSettings" Target="webSettings.xml" Id="rId4" /><Relationship Type="http://schemas.openxmlformats.org/officeDocument/2006/relationships/hyperlink" Target="https://www.sydney.edu.au/business/about/our-people/academic-staff/diane-vandenbroek.html" TargetMode="External" Id="rId9" /><Relationship Type="http://schemas.openxmlformats.org/officeDocument/2006/relationships/customXml" Target="/customXML/item.xml" Id="Rc733894c279a4e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A8F43476EB784464BFCC994945052FE7" version="1.0.0">
  <systemFields>
    <field name="Objective-Id">
      <value order="0">A4736598</value>
    </field>
    <field name="Objective-Title">
      <value order="0">Key messages and references for Rhonda Brighton-Hall</value>
    </field>
    <field name="Objective-Description">
      <value order="0"/>
    </field>
    <field name="Objective-CreationStamp">
      <value order="0">2020-08-03T03:28:59Z</value>
    </field>
    <field name="Objective-IsApproved">
      <value order="0">false</value>
    </field>
    <field name="Objective-IsPublished">
      <value order="0">false</value>
    </field>
    <field name="Objective-DatePublished">
      <value order="0"/>
    </field>
    <field name="Objective-ModificationStamp">
      <value order="0">2020-08-24T00:50:52Z</value>
    </field>
    <field name="Objective-Owner">
      <value order="0">Georgia Fryer</value>
    </field>
    <field name="Objective-Path">
      <value order="0">Objective Global Folder:1. Public Service Commission (PSC):1. Public Service Commission File Plan (PSC):WORKFORCE PLANNING:CAPABILITY FRAMEWORKS:HR Capability Uplift Project:HR Capability Uplift Project:Podcast - Smarter Ways of Working</value>
    </field>
    <field name="Objective-Parent">
      <value order="0">Podcast - Smarter Ways of Working</value>
    </field>
    <field name="Objective-State">
      <value order="0">Being Edited</value>
    </field>
    <field name="Objective-VersionId">
      <value order="0">vA8343300</value>
    </field>
    <field name="Objective-Version">
      <value order="0">1.1</value>
    </field>
    <field name="Objective-VersionNumber">
      <value order="0">2</value>
    </field>
    <field name="Objective-VersionComment">
      <value order="0"/>
    </field>
    <field name="Objective-FileNumber">
      <value order="0">PSC10827</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Tanya Hammond</cp:lastModifiedBy>
  <cp:revision>3</cp:revision>
  <dcterms:created xsi:type="dcterms:W3CDTF">2020-07-30T04:24:00Z</dcterms:created>
  <dcterms:modified xsi:type="dcterms:W3CDTF">2020-07-30T04:33:00Z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A4736598</vt:lpwstr>
  </property>
  <property fmtid="{D5CDD505-2E9C-101B-9397-08002B2CF9AE}" pid="4" name="Objective-Title">
    <vt:lpwstr>Key messages and references for Rhonda Brighton-Hall</vt:lpwstr>
  </property>
  <property fmtid="{D5CDD505-2E9C-101B-9397-08002B2CF9AE}" pid="5" name="Objective-Description">
    <vt:lpwstr/>
  </property>
  <property fmtid="{D5CDD505-2E9C-101B-9397-08002B2CF9AE}" pid="6" name="Objective-CreationStamp">
    <vt:filetime>2020-08-03T03:29:43Z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2020-08-24T00:50:52Z</vt:filetime>
  </property>
  <property fmtid="{D5CDD505-2E9C-101B-9397-08002B2CF9AE}" pid="11" name="Objective-Owner">
    <vt:lpwstr>Georgia Fryer</vt:lpwstr>
  </property>
  <property fmtid="{D5CDD505-2E9C-101B-9397-08002B2CF9AE}" pid="12" name="Objective-Path">
    <vt:lpwstr>Objective Global Folder:1. Public Service Commission (PSC):1. Public Service Commission File Plan (PSC):WORKFORCE PLANNING:CAPABILITY FRAMEWORKS:HR Capability Uplift Project:HR Capability Uplift Project:Podcast - Smarter Ways of Working:</vt:lpwstr>
  </property>
  <property fmtid="{D5CDD505-2E9C-101B-9397-08002B2CF9AE}" pid="13" name="Objective-Parent">
    <vt:lpwstr>Podcast - Smarter Ways of Working</vt:lpwstr>
  </property>
  <property fmtid="{D5CDD505-2E9C-101B-9397-08002B2CF9AE}" pid="14" name="Objective-State">
    <vt:lpwstr>Being Edited</vt:lpwstr>
  </property>
  <property fmtid="{D5CDD505-2E9C-101B-9397-08002B2CF9AE}" pid="15" name="Objective-VersionId">
    <vt:lpwstr>vA8343300</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PSC10827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