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4B87AD3D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2EEEE1F0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1D5E73A8" w14:textId="77777777" w:rsidR="00801E41" w:rsidRDefault="00801E41" w:rsidP="00C60D72">
            <w:pPr>
              <w:pStyle w:val="TableTextWhite"/>
            </w:pPr>
            <w:r>
              <w:t>Clerk Grade 11/12</w:t>
            </w:r>
          </w:p>
        </w:tc>
      </w:tr>
      <w:tr w:rsidR="00801E41" w:rsidRPr="00DC0173" w14:paraId="2F267896" w14:textId="77777777" w:rsidTr="00C60D72">
        <w:tc>
          <w:tcPr>
            <w:tcW w:w="4026" w:type="dxa"/>
          </w:tcPr>
          <w:p w14:paraId="2F0DDE02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420AB09E" w14:textId="77777777" w:rsidR="00801E41" w:rsidRDefault="002252D6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2DB9DB85" w14:textId="77777777" w:rsidTr="00C60D72">
        <w:tc>
          <w:tcPr>
            <w:tcW w:w="4026" w:type="dxa"/>
          </w:tcPr>
          <w:p w14:paraId="71ECEE80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2986A6CD" w14:textId="77777777" w:rsidR="00801E41" w:rsidRDefault="002252D6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40E91030" w14:textId="77777777" w:rsidTr="00C60D72">
        <w:tc>
          <w:tcPr>
            <w:tcW w:w="4026" w:type="dxa"/>
          </w:tcPr>
          <w:p w14:paraId="4E273703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517642AF" w14:textId="77777777" w:rsidR="00801E41" w:rsidRDefault="00801E41" w:rsidP="00C60D72">
            <w:pPr>
              <w:pStyle w:val="TableTextWhite"/>
            </w:pPr>
            <w:r>
              <w:t>10 March 2020</w:t>
            </w:r>
          </w:p>
        </w:tc>
      </w:tr>
    </w:tbl>
    <w:p w14:paraId="481EC865" w14:textId="77777777" w:rsidR="003927AE" w:rsidRPr="00F47143" w:rsidRDefault="003927AE" w:rsidP="003927AE">
      <w:pPr>
        <w:tabs>
          <w:tab w:val="left" w:pos="2925"/>
        </w:tabs>
        <w:rPr>
          <w:rFonts w:ascii="Georgia" w:hAnsi="Georgia"/>
        </w:rPr>
      </w:pPr>
    </w:p>
    <w:p w14:paraId="5FFAA50E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2D9AE62D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Executive Officer provides a range of high</w:t>
      </w:r>
      <w:r w:rsidR="002252D6">
        <w:t>-</w:t>
      </w:r>
      <w:r>
        <w:t>level executive, secretariat, and project support services to the Executive including providing strategic advice, managing communications and implementing strategies to support the achievement of the organisation’s strategic and operational objectives.</w:t>
      </w:r>
    </w:p>
    <w:p w14:paraId="2A7D08E4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19CAE3AE" w14:textId="77777777" w:rsidR="00D62918" w:rsidRPr="00D62918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Prepare, manage and review the provision of high</w:t>
      </w:r>
      <w:r w:rsidR="002252D6">
        <w:t>-</w:t>
      </w:r>
      <w:r>
        <w:t>level communications and correspondence including briefings, reports, submissions and notes to ensure the comprehensiveness, accuracy, and timeliness of written information</w:t>
      </w:r>
    </w:p>
    <w:p w14:paraId="178D3D51" w14:textId="77777777" w:rsidR="00D62918" w:rsidRPr="00D62918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Act as the Executive point of contact, liaise with stakeholders and action requests to coordinate communication and proactively ensure responses meet deadlines</w:t>
      </w:r>
    </w:p>
    <w:p w14:paraId="2075FB42" w14:textId="77777777" w:rsidR="00D62918" w:rsidRPr="00D62918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Implement, monitor and report on strategic, operational and project plans to inform decision making and support achievement of organisational objectives</w:t>
      </w:r>
    </w:p>
    <w:p w14:paraId="6934DA9B" w14:textId="77777777" w:rsidR="00D62918" w:rsidRPr="00D62918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Research and prepare strategic advice, information and reports on diverse and complex policy, planning and operational matters to facilitate informed decision making and planning</w:t>
      </w:r>
    </w:p>
    <w:p w14:paraId="2BB35F06" w14:textId="77777777" w:rsidR="00D62918" w:rsidRPr="00D62918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Provide issues management and support, responding to emerging issues to ensure effective resolution with minimal risk to the </w:t>
      </w:r>
      <w:r w:rsidR="00D62918">
        <w:t>organi</w:t>
      </w:r>
      <w:r w:rsidR="002252D6">
        <w:t>s</w:t>
      </w:r>
      <w:r w:rsidR="00D62918">
        <w:t>ation</w:t>
      </w:r>
    </w:p>
    <w:p w14:paraId="1B51468B" w14:textId="77777777" w:rsidR="00D62918" w:rsidRPr="00D62918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Lead and/or contribute to projects to support the achievement of organisation level strategic and operational objectives</w:t>
      </w:r>
    </w:p>
    <w:p w14:paraId="180C026A" w14:textId="77777777" w:rsidR="003927AE" w:rsidRPr="002252D6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Develop and oversee the implementation and evaluation of administrative practices, systems and procedures to optimise efficiency and support the achievement of quality outcomes</w:t>
      </w:r>
    </w:p>
    <w:p w14:paraId="1FC54DAA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6F412C3A" w14:textId="77777777" w:rsidR="003927AE" w:rsidRPr="00D62918" w:rsidRDefault="007E77DC" w:rsidP="00D62918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>
        <w:t>Anticipating and addressing contentious issues and providing accurate advice on complex issues and legislation, often within tight timeframes, given the need to collect and assimilate information from a variety of different sources whilst maintaining confidentiality and exercising diplomacy</w:t>
      </w:r>
    </w:p>
    <w:p w14:paraId="324A9320" w14:textId="77777777" w:rsidR="002252D6" w:rsidRDefault="002252D6" w:rsidP="003927AE">
      <w:pPr>
        <w:tabs>
          <w:tab w:val="left" w:pos="2925"/>
        </w:tabs>
        <w:spacing w:line="240" w:lineRule="auto"/>
        <w:rPr>
          <w:rStyle w:val="Heading1Char"/>
        </w:rPr>
      </w:pPr>
      <w:r>
        <w:rPr>
          <w:rStyle w:val="Heading1Char"/>
        </w:rPr>
        <w:br w:type="page"/>
      </w:r>
    </w:p>
    <w:p w14:paraId="71FAF562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lastRenderedPageBreak/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141BB337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43A4AABC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1F36CB23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0D956F09" w14:textId="77777777" w:rsidTr="00E55704">
        <w:tc>
          <w:tcPr>
            <w:tcW w:w="3601" w:type="dxa"/>
            <w:shd w:val="clear" w:color="auto" w:fill="BCBEC0"/>
          </w:tcPr>
          <w:p w14:paraId="05B712FC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Ministerial</w:t>
            </w:r>
          </w:p>
        </w:tc>
        <w:tc>
          <w:tcPr>
            <w:tcW w:w="7256" w:type="dxa"/>
            <w:shd w:val="clear" w:color="auto" w:fill="BCBEC0"/>
          </w:tcPr>
          <w:p w14:paraId="5B600465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38246A34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8D165AA" w14:textId="77777777" w:rsidR="003927AE" w:rsidRPr="00A15CDB" w:rsidRDefault="003927AE" w:rsidP="00A72C86">
            <w:pPr>
              <w:pStyle w:val="TableText"/>
            </w:pPr>
            <w:r>
              <w:t>Office of the Minister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543609D7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with Ministerial staff, providing accurate information and timely responses to sensitive or contentious issues</w:t>
            </w:r>
          </w:p>
        </w:tc>
      </w:tr>
      <w:tr w:rsidR="003927AE" w:rsidRPr="00A8245E" w14:paraId="23E28271" w14:textId="77777777" w:rsidTr="00E55704">
        <w:tc>
          <w:tcPr>
            <w:tcW w:w="3601" w:type="dxa"/>
            <w:shd w:val="clear" w:color="auto" w:fill="BCBEC0"/>
          </w:tcPr>
          <w:p w14:paraId="680B1259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0BCBC8C9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41930D93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3B2DE1A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FFF5600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and contribute to decision making; identify emerging issues/risks and their implications and propose solutions; receive advice and report on progress towards business objectives and discuss future directions</w:t>
            </w:r>
          </w:p>
        </w:tc>
      </w:tr>
      <w:tr w:rsidR="003927AE" w:rsidRPr="00C978B9" w14:paraId="7F0ABF04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17C967F" w14:textId="77777777" w:rsidR="003927AE" w:rsidRPr="00A15CDB" w:rsidRDefault="003927AE" w:rsidP="00A72C86">
            <w:pPr>
              <w:pStyle w:val="TableText"/>
            </w:pPr>
            <w:r>
              <w:t>Executive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3A654A9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Collaborate and provide advice to contribute to strategic decision-making</w:t>
            </w:r>
          </w:p>
        </w:tc>
      </w:tr>
      <w:tr w:rsidR="003927AE" w:rsidRPr="00C978B9" w14:paraId="6F2CF6D2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5A4F04AC" w14:textId="77777777" w:rsidR="003927AE" w:rsidRPr="00A15CDB" w:rsidRDefault="003927AE" w:rsidP="00A72C86">
            <w:pPr>
              <w:pStyle w:val="TableText"/>
            </w:pPr>
            <w:r>
              <w:t>Direct Reports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4731D04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Lead, direct, manage and support performance and development</w:t>
            </w:r>
          </w:p>
        </w:tc>
      </w:tr>
      <w:tr w:rsidR="003927AE" w:rsidRPr="00C978B9" w14:paraId="2C39C223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B05C45C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174AD0D2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Liaise with, and coordinate information between stakeholders and the Executive; consult and collaborate with, to define mutual interests and determine strategies to achieve their realisation</w:t>
            </w:r>
          </w:p>
        </w:tc>
      </w:tr>
      <w:tr w:rsidR="003927AE" w:rsidRPr="00A8245E" w14:paraId="58E1A7AA" w14:textId="77777777" w:rsidTr="00E55704">
        <w:tc>
          <w:tcPr>
            <w:tcW w:w="3601" w:type="dxa"/>
            <w:shd w:val="clear" w:color="auto" w:fill="BCBEC0"/>
          </w:tcPr>
          <w:p w14:paraId="3ED974E2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3765D679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00BD6B85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3E9F814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1DEF082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sound and reliable advice; manage expectations, resolve and provide solutions to issues; negotiate outcomes and timeframes</w:t>
            </w:r>
          </w:p>
        </w:tc>
      </w:tr>
    </w:tbl>
    <w:p w14:paraId="7DD27AF2" w14:textId="77777777" w:rsidR="003927AE" w:rsidRDefault="003927AE" w:rsidP="003927AE"/>
    <w:p w14:paraId="0EC38783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7E325353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6BB393D5" w14:textId="77777777" w:rsidR="003927AE" w:rsidRPr="00603D53" w:rsidRDefault="00D62918" w:rsidP="003927AE">
      <w:pPr>
        <w:rPr>
          <w:rFonts w:cs="Arial"/>
          <w:szCs w:val="26"/>
        </w:rPr>
      </w:pPr>
      <w:r>
        <w:t>NA</w:t>
      </w:r>
    </w:p>
    <w:p w14:paraId="633B35CF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718C2189" w14:textId="77777777" w:rsidR="003927AE" w:rsidRPr="00603D53" w:rsidRDefault="00D62918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27EF6EB8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27775CB1" w14:textId="77777777" w:rsidR="003927AE" w:rsidRPr="00603D53" w:rsidRDefault="00D62918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292BAF98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0BFC2407" w14:textId="77777777" w:rsidR="003927AE" w:rsidRDefault="00D62918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62FED0CC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649CFB0C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7557EC80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4918CEFB" w14:textId="77777777" w:rsidR="003927AE" w:rsidRPr="00C978B9" w:rsidRDefault="003927AE" w:rsidP="003927AE">
      <w:pPr>
        <w:pStyle w:val="Heading1"/>
      </w:pPr>
      <w:r w:rsidRPr="00C978B9">
        <w:lastRenderedPageBreak/>
        <w:t xml:space="preserve">Focus </w:t>
      </w:r>
      <w:r>
        <w:t>c</w:t>
      </w:r>
      <w:r w:rsidRPr="00C978B9">
        <w:t>apabilities</w:t>
      </w:r>
    </w:p>
    <w:p w14:paraId="57C93CFD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5E358C87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475CEFFC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72F591A1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536F6153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3927AE" w:rsidRPr="00C978B9" w14:paraId="32F42CFC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51E0BD95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5D5CCC7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661DCB5A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00F2C77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12992DF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5A240656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C6E8D52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B769EB3" wp14:editId="50B31E08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8307CF6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Display Resilience and Courage</w:t>
            </w:r>
          </w:p>
          <w:p w14:paraId="1736B665" w14:textId="77777777" w:rsidR="002D336D" w:rsidRPr="00AA57E3" w:rsidRDefault="002D336D" w:rsidP="00A72C86">
            <w:pPr>
              <w:pStyle w:val="TableText"/>
              <w:keepNext/>
            </w:pPr>
            <w:r>
              <w:t>Be open and honest, prepared to express your views, and willing to accept and commit to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900100B" w14:textId="77777777" w:rsidR="002D336D" w:rsidRPr="00AA57E3" w:rsidRDefault="002D336D" w:rsidP="002D336D">
            <w:pPr>
              <w:pStyle w:val="TableBullet"/>
            </w:pPr>
            <w:r>
              <w:t>Be flexible, show initiative and respond quickly when situations change</w:t>
            </w:r>
          </w:p>
          <w:p w14:paraId="02743730" w14:textId="77777777" w:rsidR="002D336D" w:rsidRPr="00AA57E3" w:rsidRDefault="002D336D" w:rsidP="002D336D">
            <w:pPr>
              <w:pStyle w:val="TableBullet"/>
            </w:pPr>
            <w:r>
              <w:t>Give frank and honest feedback and advice</w:t>
            </w:r>
          </w:p>
          <w:p w14:paraId="3F75E0F6" w14:textId="77777777" w:rsidR="002D336D" w:rsidRPr="00AA57E3" w:rsidRDefault="002D336D" w:rsidP="002D336D">
            <w:pPr>
              <w:pStyle w:val="TableBullet"/>
            </w:pPr>
            <w:r>
              <w:t>Listen when ideas are challenged, seek to understand the nature of the comment and respond appropriately</w:t>
            </w:r>
          </w:p>
          <w:p w14:paraId="284423E0" w14:textId="77777777" w:rsidR="002D336D" w:rsidRPr="00AA57E3" w:rsidRDefault="002D336D" w:rsidP="002D336D">
            <w:pPr>
              <w:pStyle w:val="TableBullet"/>
            </w:pPr>
            <w:r>
              <w:t>Raise and work through challenging issues and seek alternatives</w:t>
            </w:r>
          </w:p>
          <w:p w14:paraId="5920FF12" w14:textId="77777777" w:rsidR="002D336D" w:rsidRPr="00AA57E3" w:rsidRDefault="002D336D" w:rsidP="002D336D">
            <w:pPr>
              <w:pStyle w:val="TableBullet"/>
            </w:pPr>
            <w:r>
              <w:t>Remain composed and calm under pressure and in challenging situations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1E6464E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70978274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313EF94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EDACE8B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4B3272CD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96B072D" w14:textId="77777777" w:rsidR="002D336D" w:rsidRDefault="002D336D" w:rsidP="002D336D">
            <w:pPr>
              <w:pStyle w:val="TableBullet"/>
            </w:pPr>
            <w:r>
              <w:t>Represent the organisation in an honest, ethical and professional way and encourage others to do so</w:t>
            </w:r>
          </w:p>
          <w:p w14:paraId="49FF27FB" w14:textId="77777777" w:rsidR="002D336D" w:rsidRDefault="002D336D" w:rsidP="002D336D">
            <w:pPr>
              <w:pStyle w:val="TableBullet"/>
            </w:pPr>
            <w:r>
              <w:t>Act professionally and support a culture of integrity</w:t>
            </w:r>
          </w:p>
          <w:p w14:paraId="5CADB1D5" w14:textId="77777777" w:rsidR="002D336D" w:rsidRDefault="002D336D" w:rsidP="002D336D">
            <w:pPr>
              <w:pStyle w:val="TableBullet"/>
            </w:pPr>
            <w:r>
              <w:t>Identify and explain ethical issues and set an example for others to follow</w:t>
            </w:r>
          </w:p>
          <w:p w14:paraId="0E8C1691" w14:textId="77777777" w:rsidR="002D336D" w:rsidRDefault="002D336D" w:rsidP="002D336D">
            <w:pPr>
              <w:pStyle w:val="TableBullet"/>
            </w:pPr>
            <w:r>
              <w:t>Ensure that others are aware of and understand the legislation and policy framework within which they operate</w:t>
            </w:r>
          </w:p>
          <w:p w14:paraId="2F4A7884" w14:textId="77777777" w:rsidR="002D336D" w:rsidRDefault="002D336D" w:rsidP="002D336D">
            <w:pPr>
              <w:pStyle w:val="TableBullet"/>
            </w:pPr>
            <w:r>
              <w:t>Act to prevent and report misconduct and illegal and inappropriate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6FE3080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</w:tbl>
    <w:p w14:paraId="7F7481D1" w14:textId="77777777" w:rsidR="002252D6" w:rsidRDefault="002252D6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2252D6" w:rsidRPr="00803E47" w14:paraId="601CB89E" w14:textId="77777777" w:rsidTr="009C7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33A51B7F" w14:textId="77777777" w:rsidR="002252D6" w:rsidRPr="00803E47" w:rsidRDefault="002252D6" w:rsidP="009C75A2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2252D6" w:rsidRPr="00C978B9" w14:paraId="1292006B" w14:textId="77777777" w:rsidTr="009C7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48E36B4D" w14:textId="77777777" w:rsidR="002252D6" w:rsidRPr="00C978B9" w:rsidRDefault="002252D6" w:rsidP="009C75A2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57984402" w14:textId="77777777" w:rsidR="002252D6" w:rsidRPr="00C978B9" w:rsidRDefault="002252D6" w:rsidP="009C75A2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775F52B" w14:textId="77777777" w:rsidR="002252D6" w:rsidRDefault="002252D6" w:rsidP="009C75A2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34B3070" w14:textId="77777777" w:rsidR="002252D6" w:rsidRDefault="002252D6" w:rsidP="009C75A2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68E0CE9" w14:textId="77777777" w:rsidR="002252D6" w:rsidRDefault="002252D6" w:rsidP="009C75A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67B460C8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626BE13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293ED0E" wp14:editId="7FF9E4E2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7569108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6F06A73C" w14:textId="77777777"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D4AA600" w14:textId="77777777" w:rsidR="002D336D" w:rsidRPr="00AA57E3" w:rsidRDefault="002D336D" w:rsidP="002D336D">
            <w:pPr>
              <w:pStyle w:val="TableBullet"/>
            </w:pPr>
            <w:r>
              <w:t>Tailor communication to diverse audiences</w:t>
            </w:r>
          </w:p>
          <w:p w14:paraId="63CF3BEB" w14:textId="77777777" w:rsidR="002D336D" w:rsidRPr="00AA57E3" w:rsidRDefault="002D336D" w:rsidP="002D336D">
            <w:pPr>
              <w:pStyle w:val="TableBullet"/>
            </w:pPr>
            <w:r>
              <w:t>Clearly explain complex concepts and arguments to individuals and groups</w:t>
            </w:r>
          </w:p>
          <w:p w14:paraId="203A9232" w14:textId="77777777" w:rsidR="002D336D" w:rsidRPr="00AA57E3" w:rsidRDefault="002D336D" w:rsidP="002D336D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14:paraId="02074A41" w14:textId="77777777" w:rsidR="002D336D" w:rsidRPr="00AA57E3" w:rsidRDefault="002D336D" w:rsidP="002D336D">
            <w:pPr>
              <w:pStyle w:val="TableBullet"/>
            </w:pPr>
            <w:r>
              <w:t>Share information across teams and units to enable informed decision making</w:t>
            </w:r>
          </w:p>
          <w:p w14:paraId="6CB85B07" w14:textId="77777777" w:rsidR="002D336D" w:rsidRPr="00AA57E3" w:rsidRDefault="002D336D" w:rsidP="002D336D">
            <w:pPr>
              <w:pStyle w:val="TableBullet"/>
            </w:pPr>
            <w:r>
              <w:t>Write fluently in plain English and in a range of styles and formats</w:t>
            </w:r>
          </w:p>
          <w:p w14:paraId="77891D51" w14:textId="77777777" w:rsidR="002D336D" w:rsidRPr="00AA57E3" w:rsidRDefault="002D336D" w:rsidP="002D336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236B46B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14681E57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DF1D8C9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1661BA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Influence and Negotiate</w:t>
            </w:r>
          </w:p>
          <w:p w14:paraId="7FAFD3B7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Gain consensus and commitment from others, and resolve issues and conflicts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75A07B2" w14:textId="77777777" w:rsidR="002D336D" w:rsidRDefault="002D336D" w:rsidP="002D336D">
            <w:pPr>
              <w:pStyle w:val="TableBullet"/>
            </w:pPr>
            <w:r>
              <w:t>Negotiate from an informed and credible position</w:t>
            </w:r>
          </w:p>
          <w:p w14:paraId="73E60703" w14:textId="77777777" w:rsidR="002D336D" w:rsidRDefault="002D336D" w:rsidP="002D336D">
            <w:pPr>
              <w:pStyle w:val="TableBullet"/>
            </w:pPr>
            <w:r>
              <w:t>Lead and facilitate productive discussions with staff and stakeholders</w:t>
            </w:r>
          </w:p>
          <w:p w14:paraId="5AA7E5A4" w14:textId="77777777" w:rsidR="002D336D" w:rsidRDefault="002D336D" w:rsidP="002D336D">
            <w:pPr>
              <w:pStyle w:val="TableBullet"/>
            </w:pPr>
            <w:r>
              <w:t>Encourage others to talk, share and debate ideas to achieve a consensus</w:t>
            </w:r>
          </w:p>
          <w:p w14:paraId="76219F9D" w14:textId="77777777" w:rsidR="002D336D" w:rsidRDefault="002D336D" w:rsidP="002D336D">
            <w:pPr>
              <w:pStyle w:val="TableBullet"/>
            </w:pPr>
            <w:r>
              <w:t>Recognise diverse perspectives and the need for compromise in negotiating mutually agreed outcomes</w:t>
            </w:r>
          </w:p>
          <w:p w14:paraId="02F53E7A" w14:textId="77777777" w:rsidR="002D336D" w:rsidRDefault="002D336D" w:rsidP="002D336D">
            <w:pPr>
              <w:pStyle w:val="TableBullet"/>
            </w:pPr>
            <w:r>
              <w:t>Influence others with a fair and considered approach and sound arguments</w:t>
            </w:r>
          </w:p>
          <w:p w14:paraId="156A8C4A" w14:textId="77777777" w:rsidR="002D336D" w:rsidRDefault="002D336D" w:rsidP="002D336D">
            <w:pPr>
              <w:pStyle w:val="TableBullet"/>
            </w:pPr>
            <w:r>
              <w:t>Show sensitivity and understanding in resolving conflicts and differences</w:t>
            </w:r>
          </w:p>
          <w:p w14:paraId="3394AEAE" w14:textId="77777777" w:rsidR="002D336D" w:rsidRDefault="002D336D" w:rsidP="002D336D">
            <w:pPr>
              <w:pStyle w:val="TableBullet"/>
            </w:pPr>
            <w:r>
              <w:t>Manage challenging relationships with internal and external stakeholders</w:t>
            </w:r>
          </w:p>
          <w:p w14:paraId="69FE11BD" w14:textId="77777777" w:rsidR="002D336D" w:rsidRDefault="002D336D" w:rsidP="002D336D">
            <w:pPr>
              <w:pStyle w:val="TableBullet"/>
            </w:pPr>
            <w:r>
              <w:t>Anticipate and minimise conflict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2FB7945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49093126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960B403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0CEB827" wp14:editId="057B78ED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DE6D114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6AEF94A6" w14:textId="77777777" w:rsidR="002D336D" w:rsidRPr="00AA57E3" w:rsidRDefault="002D336D" w:rsidP="00A72C86">
            <w:pPr>
              <w:pStyle w:val="TableText"/>
              <w:keepNext/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426A0D7" w14:textId="77777777" w:rsidR="002D336D" w:rsidRPr="00AA57E3" w:rsidRDefault="002D336D" w:rsidP="002D336D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14:paraId="58F50762" w14:textId="77777777" w:rsidR="002D336D" w:rsidRPr="00AA57E3" w:rsidRDefault="002D336D" w:rsidP="002D336D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14:paraId="4B292C0B" w14:textId="77777777" w:rsidR="002D336D" w:rsidRPr="00AA57E3" w:rsidRDefault="002D336D" w:rsidP="002D336D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14:paraId="058B7BFD" w14:textId="77777777" w:rsidR="002D336D" w:rsidRPr="00AA57E3" w:rsidRDefault="002D336D" w:rsidP="002D336D">
            <w:pPr>
              <w:pStyle w:val="TableBullet"/>
            </w:pPr>
            <w:r>
              <w:t>Seek contributions and ideas from people with diverse backgrounds and experience</w:t>
            </w:r>
          </w:p>
          <w:p w14:paraId="53205228" w14:textId="77777777" w:rsidR="002D336D" w:rsidRPr="00AA57E3" w:rsidRDefault="002D336D" w:rsidP="002D336D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14:paraId="19FC99AE" w14:textId="77777777" w:rsidR="002D336D" w:rsidRPr="00AA57E3" w:rsidRDefault="002D336D" w:rsidP="002D336D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AA07730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3041CC26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0AF47F0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6CDADDE2" wp14:editId="237F1360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F678074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20B7B9CF" w14:textId="77777777" w:rsidR="002D336D" w:rsidRPr="00AA57E3" w:rsidRDefault="002D336D" w:rsidP="00A72C86">
            <w:pPr>
              <w:pStyle w:val="TableText"/>
              <w:keepNext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3600D12" w14:textId="77777777" w:rsidR="002D336D" w:rsidRPr="00AA57E3" w:rsidRDefault="002D336D" w:rsidP="002D336D">
            <w:pPr>
              <w:pStyle w:val="TableBullet"/>
            </w:pPr>
            <w:r>
              <w:t>Understand all components of the project management process, including the need to consider change management to realise business benefits</w:t>
            </w:r>
          </w:p>
          <w:p w14:paraId="56E24155" w14:textId="77777777" w:rsidR="002D336D" w:rsidRPr="00AA57E3" w:rsidRDefault="002D336D" w:rsidP="002D336D">
            <w:pPr>
              <w:pStyle w:val="TableBullet"/>
            </w:pPr>
            <w:r>
              <w:t>Prepare clear project proposals and accurate estimates of required costs and resources</w:t>
            </w:r>
          </w:p>
          <w:p w14:paraId="40F132E5" w14:textId="77777777" w:rsidR="002D336D" w:rsidRPr="00AA57E3" w:rsidRDefault="002D336D" w:rsidP="002D336D">
            <w:pPr>
              <w:pStyle w:val="TableBullet"/>
            </w:pPr>
            <w:r>
              <w:t>Establish performance outcomes and measures for key project goals, and define monitoring, reporting and communication requirements</w:t>
            </w:r>
          </w:p>
          <w:p w14:paraId="003A4CF1" w14:textId="77777777" w:rsidR="002D336D" w:rsidRPr="00AA57E3" w:rsidRDefault="002D336D" w:rsidP="002D336D">
            <w:pPr>
              <w:pStyle w:val="TableBullet"/>
            </w:pPr>
            <w:r>
              <w:t>Identify and evaluate risks associated with the project and develop mitigation strategies</w:t>
            </w:r>
          </w:p>
          <w:p w14:paraId="57A6738B" w14:textId="77777777" w:rsidR="002D336D" w:rsidRPr="00AA57E3" w:rsidRDefault="002D336D" w:rsidP="002D336D">
            <w:pPr>
              <w:pStyle w:val="TableBullet"/>
            </w:pPr>
            <w:r>
              <w:t>Identify and consult stakeholders to inform the project strategy</w:t>
            </w:r>
          </w:p>
          <w:p w14:paraId="27AB8BF7" w14:textId="77777777" w:rsidR="002D336D" w:rsidRPr="00AA57E3" w:rsidRDefault="002D336D" w:rsidP="002D336D">
            <w:pPr>
              <w:pStyle w:val="TableBullet"/>
            </w:pPr>
            <w:r>
              <w:t>Communicate the project’s objectives and its expected benefits</w:t>
            </w:r>
          </w:p>
          <w:p w14:paraId="7B255D3E" w14:textId="77777777" w:rsidR="002D336D" w:rsidRPr="00AA57E3" w:rsidRDefault="002D336D" w:rsidP="002D336D">
            <w:pPr>
              <w:pStyle w:val="TableBullet"/>
            </w:pPr>
            <w:r>
              <w:t>Monitor the completion of project milestones against goals and take necessary action</w:t>
            </w:r>
          </w:p>
          <w:p w14:paraId="6376FD8C" w14:textId="77777777" w:rsidR="002D336D" w:rsidRPr="00AA57E3" w:rsidRDefault="002D336D" w:rsidP="002D336D">
            <w:pPr>
              <w:pStyle w:val="TableBullet"/>
            </w:pPr>
            <w:r>
              <w:t>Evaluate progress and identify improvements to inform future projects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6E9BE98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0FE42830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7419C1A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D170F7B" wp14:editId="58B9D812">
                  <wp:extent cx="847725" cy="847725"/>
                  <wp:effectExtent l="0" t="0" r="9525" b="9525"/>
                  <wp:docPr id="8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B0E8A87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57E54B43" w14:textId="77777777" w:rsidR="002D336D" w:rsidRPr="00AA57E3" w:rsidRDefault="002D336D" w:rsidP="00A72C86">
            <w:pPr>
              <w:pStyle w:val="TableText"/>
              <w:keepNext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2852A9A" w14:textId="77777777" w:rsidR="002D336D" w:rsidRPr="00AA57E3" w:rsidRDefault="002D336D" w:rsidP="002D336D">
            <w:pPr>
              <w:pStyle w:val="TableBullet"/>
            </w:pPr>
            <w:r>
              <w:t>Collaborate to set clear performance standards and deadlines in line with established performance development frameworks</w:t>
            </w:r>
          </w:p>
          <w:p w14:paraId="19C00095" w14:textId="77777777" w:rsidR="002D336D" w:rsidRPr="00AA57E3" w:rsidRDefault="002D336D" w:rsidP="002D336D">
            <w:pPr>
              <w:pStyle w:val="TableBullet"/>
            </w:pPr>
            <w:r>
              <w:t>Look for ways to develop team capability and recognise and develop individual potential</w:t>
            </w:r>
          </w:p>
          <w:p w14:paraId="75E3152A" w14:textId="77777777" w:rsidR="002D336D" w:rsidRPr="00AA57E3" w:rsidRDefault="002D336D" w:rsidP="002D336D">
            <w:pPr>
              <w:pStyle w:val="TableBullet"/>
            </w:pPr>
            <w:r>
              <w:t>Be constructive and build on strengths by giving timely and actionable feedback</w:t>
            </w:r>
          </w:p>
          <w:p w14:paraId="23AFDF93" w14:textId="77777777" w:rsidR="002D336D" w:rsidRPr="00AA57E3" w:rsidRDefault="002D336D" w:rsidP="002D336D">
            <w:pPr>
              <w:pStyle w:val="TableBullet"/>
            </w:pPr>
            <w:r>
              <w:t>Identify and act on opportunities to provide coaching and mentoring</w:t>
            </w:r>
          </w:p>
          <w:p w14:paraId="2D20D2DC" w14:textId="77777777" w:rsidR="002D336D" w:rsidRPr="00AA57E3" w:rsidRDefault="002D336D" w:rsidP="002D336D">
            <w:pPr>
              <w:pStyle w:val="TableBullet"/>
            </w:pPr>
            <w:r>
              <w:t>Recognise performance issues that need to be addressed and work towards resolving issues</w:t>
            </w:r>
          </w:p>
          <w:p w14:paraId="5F460E33" w14:textId="77777777" w:rsidR="002D336D" w:rsidRPr="00AA57E3" w:rsidRDefault="002D336D" w:rsidP="002D336D">
            <w:pPr>
              <w:pStyle w:val="TableBullet"/>
            </w:pPr>
            <w:r>
              <w:t>Effectively support and manage team members who are working flexibly and in various locations</w:t>
            </w:r>
          </w:p>
          <w:p w14:paraId="1D9B90EC" w14:textId="77777777" w:rsidR="002D336D" w:rsidRPr="00AA57E3" w:rsidRDefault="002D336D" w:rsidP="002D336D">
            <w:pPr>
              <w:pStyle w:val="TableBullet"/>
            </w:pPr>
            <w:r>
              <w:t>Create a safe environment where team members’ diverse backgrounds and cultures are considered and respected</w:t>
            </w:r>
          </w:p>
          <w:p w14:paraId="741371C4" w14:textId="77777777" w:rsidR="002D336D" w:rsidRPr="00AA57E3" w:rsidRDefault="002D336D" w:rsidP="002D336D">
            <w:pPr>
              <w:pStyle w:val="TableBullet"/>
            </w:pPr>
            <w:r>
              <w:t>Consider feedback on own management style and reflect on potential areas to improve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90069B6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3EE66E56" w14:textId="77777777" w:rsidR="003927AE" w:rsidRDefault="003927AE" w:rsidP="003927AE"/>
    <w:p w14:paraId="2923BC39" w14:textId="77777777" w:rsidR="003927AE" w:rsidRDefault="003927AE" w:rsidP="003927AE">
      <w:pPr>
        <w:pStyle w:val="Heading1"/>
      </w:pPr>
      <w:r>
        <w:t>Complementary capabilities</w:t>
      </w:r>
    </w:p>
    <w:p w14:paraId="5AF8AE86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114C2007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30755BC0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38EE0E08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214D98DD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6F349EFB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1F9D2824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B19C1BF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562A9FF7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3C47B001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2537F812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7E932DF2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0C3F839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CA30413" wp14:editId="44E04F6D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916720F" w14:textId="77777777" w:rsidR="002B5704" w:rsidRPr="00AA57E3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D226AA3" w14:textId="77777777" w:rsidR="002B5704" w:rsidRPr="00AA57E3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C61CA1A" w14:textId="56F944E0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7DB646DD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F568955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5DF7BC9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99CBC3D" w14:textId="77777777"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CEE516B" w14:textId="3A6D7306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263E919D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4C99A0C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C53F29E" wp14:editId="6B8F986C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527B1AC" w14:textId="77777777" w:rsidR="002B5704" w:rsidRPr="00AA57E3" w:rsidRDefault="002B5704" w:rsidP="00A8064A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ED8023A" w14:textId="77777777" w:rsidR="002B5704" w:rsidRPr="00AA57E3" w:rsidRDefault="002B5704" w:rsidP="002B5704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FDA56BD" w14:textId="5139054B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257FD20A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964FEBD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28D762C" w14:textId="77777777"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7FB43D6" w14:textId="77777777"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D663805" w14:textId="7680476F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19E3C305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3A98248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ED75F57" wp14:editId="27719367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8F7C3ED" w14:textId="77777777" w:rsidR="002B5704" w:rsidRPr="00AA57E3" w:rsidRDefault="002B5704" w:rsidP="00A8064A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423FE51" w14:textId="77777777" w:rsidR="002B5704" w:rsidRPr="00AA57E3" w:rsidRDefault="002B5704" w:rsidP="002B5704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3E02B24" w14:textId="52C60DB1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259B282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1BD6078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92ACAA3" w14:textId="77777777" w:rsidR="002B5704" w:rsidRPr="00A8226F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9ACB066" w14:textId="77777777" w:rsidR="002B5704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0F80315" w14:textId="45022D5D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0E459019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C602CBF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0A1674B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B045BCB" w14:textId="77777777"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14279C0" w14:textId="40C115C6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0A8FBA6A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DB5BE4A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B30A791" wp14:editId="249934A7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051E0FE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0314E62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E98E4D6" w14:textId="5F85524E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3DD7B56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6EF31B9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1536F68" w14:textId="77777777"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8E5C385" w14:textId="77777777"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18A9DE3" w14:textId="7967A980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4FB04DEF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7570325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0204F67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292D54B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60D84E7" w14:textId="02995459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23B22AD9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9AAB69F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485AF61" wp14:editId="37A5E55E">
                  <wp:extent cx="847725" cy="847725"/>
                  <wp:effectExtent l="0" t="0" r="9525" b="9525"/>
                  <wp:docPr id="6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52CC1B5" w14:textId="77777777" w:rsidR="002B5704" w:rsidRPr="00AA57E3" w:rsidRDefault="002B5704" w:rsidP="00A8064A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11035B1" w14:textId="77777777" w:rsidR="002B5704" w:rsidRPr="00AA57E3" w:rsidRDefault="002B5704" w:rsidP="002B5704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E88138" w14:textId="2CDA4EE5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2FC4FA6C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5227C2F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702D724" w14:textId="77777777" w:rsidR="002B5704" w:rsidRPr="00A8226F" w:rsidRDefault="002B5704" w:rsidP="00A8064A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3043F2A" w14:textId="77777777" w:rsidR="002B5704" w:rsidRDefault="002B5704" w:rsidP="002B5704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4F82C37" w14:textId="20AF6EEA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3CAEED23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2C7BCCE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3A2EDD3" w14:textId="77777777" w:rsidR="002B5704" w:rsidRPr="00A8226F" w:rsidRDefault="002B5704" w:rsidP="00A8064A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C8A79F8" w14:textId="77777777" w:rsidR="002B5704" w:rsidRDefault="002B5704" w:rsidP="002B5704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775C90E" w14:textId="26CDC9D5" w:rsidR="002B5704" w:rsidRDefault="00C27D4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1DCC2365" w14:textId="77777777"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4EC9" w14:textId="77777777" w:rsidR="0050219E" w:rsidRDefault="0050219E" w:rsidP="00BB532F">
      <w:pPr>
        <w:spacing w:after="0" w:line="240" w:lineRule="auto"/>
      </w:pPr>
      <w:r>
        <w:separator/>
      </w:r>
    </w:p>
  </w:endnote>
  <w:endnote w:type="continuationSeparator" w:id="0">
    <w:p w14:paraId="0064524B" w14:textId="77777777" w:rsidR="0050219E" w:rsidRDefault="0050219E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4DF0B6DA" w14:textId="77777777" w:rsidTr="00C03AFD">
      <w:tc>
        <w:tcPr>
          <w:tcW w:w="2250" w:type="pct"/>
          <w:vAlign w:val="center"/>
        </w:tcPr>
        <w:p w14:paraId="02DBB8F5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Executive Officer</w:t>
          </w:r>
        </w:p>
      </w:tc>
      <w:tc>
        <w:tcPr>
          <w:tcW w:w="250" w:type="pct"/>
          <w:vAlign w:val="center"/>
        </w:tcPr>
        <w:p w14:paraId="42535357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11B0FD43" w14:textId="77777777" w:rsidR="00C03AFD" w:rsidRDefault="00C03AFD" w:rsidP="00C03AFD">
          <w:pPr>
            <w:pStyle w:val="Footer"/>
            <w:jc w:val="right"/>
          </w:pPr>
        </w:p>
      </w:tc>
    </w:tr>
  </w:tbl>
  <w:p w14:paraId="26A395EC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20ACBC1E" w14:textId="77777777" w:rsidTr="0047547E">
      <w:trPr>
        <w:trHeight w:val="811"/>
      </w:trPr>
      <w:tc>
        <w:tcPr>
          <w:tcW w:w="10005" w:type="dxa"/>
          <w:vAlign w:val="bottom"/>
        </w:tcPr>
        <w:p w14:paraId="0188F4B0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7E1FAFEB" w14:textId="77777777" w:rsidR="00BB532F" w:rsidRDefault="00BB532F" w:rsidP="00BD7BA7">
          <w:pPr>
            <w:pStyle w:val="Footer"/>
            <w:jc w:val="right"/>
          </w:pPr>
        </w:p>
      </w:tc>
    </w:tr>
  </w:tbl>
  <w:p w14:paraId="1DB97F93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4656B" w14:textId="77777777" w:rsidR="0050219E" w:rsidRDefault="0050219E" w:rsidP="00BB532F">
      <w:pPr>
        <w:spacing w:after="0" w:line="240" w:lineRule="auto"/>
      </w:pPr>
      <w:r>
        <w:separator/>
      </w:r>
    </w:p>
  </w:footnote>
  <w:footnote w:type="continuationSeparator" w:id="0">
    <w:p w14:paraId="7461FE45" w14:textId="77777777" w:rsidR="0050219E" w:rsidRDefault="0050219E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465797A4" w14:textId="77777777" w:rsidTr="00894A73">
      <w:trPr>
        <w:trHeight w:val="813"/>
      </w:trPr>
      <w:tc>
        <w:tcPr>
          <w:tcW w:w="7082" w:type="dxa"/>
        </w:tcPr>
        <w:p w14:paraId="6A41D112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79FE9F70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Executive Officer</w:t>
          </w:r>
        </w:p>
      </w:tc>
      <w:tc>
        <w:tcPr>
          <w:tcW w:w="3688" w:type="dxa"/>
        </w:tcPr>
        <w:p w14:paraId="38378E37" w14:textId="77777777" w:rsidR="000477E1" w:rsidRPr="000477E1" w:rsidRDefault="000477E1" w:rsidP="00030565">
          <w:pPr>
            <w:jc w:val="right"/>
          </w:pPr>
        </w:p>
      </w:tc>
    </w:tr>
  </w:tbl>
  <w:p w14:paraId="2961493E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28B"/>
    <w:multiLevelType w:val="hybridMultilevel"/>
    <w:tmpl w:val="9B70BA8E"/>
    <w:lvl w:ilvl="0" w:tplc="DEE6AC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szQ2MTQ1sLA0N7NU0lEKTi0uzszPAykwrAUA4lkdai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56504"/>
    <w:rsid w:val="00060B58"/>
    <w:rsid w:val="000645C8"/>
    <w:rsid w:val="00067161"/>
    <w:rsid w:val="00071332"/>
    <w:rsid w:val="000713E6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252D6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95AAA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02382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19E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97A60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23E79"/>
    <w:rsid w:val="00C271F9"/>
    <w:rsid w:val="00C27D44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0A4"/>
    <w:rsid w:val="00CE1E5E"/>
    <w:rsid w:val="00CF2A85"/>
    <w:rsid w:val="00D312DA"/>
    <w:rsid w:val="00D351CC"/>
    <w:rsid w:val="00D55E55"/>
    <w:rsid w:val="00D6084A"/>
    <w:rsid w:val="00D62918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B7B11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33F60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D70D8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43d56d23ed85485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A4652710</value>
    </field>
    <field name="Objective-Title">
      <value order="0">Executive Officer 301020 F</value>
    </field>
    <field name="Objective-Description">
      <value order="0"/>
    </field>
    <field name="Objective-CreationStamp">
      <value order="0">2020-03-09T22:16:42Z</value>
    </field>
    <field name="Objective-IsApproved">
      <value order="0">false</value>
    </field>
    <field name="Objective-IsPublished">
      <value order="0">true</value>
    </field>
    <field name="Objective-DatePublished">
      <value order="0">2021-02-03T20:51:36Z</value>
    </field>
    <field name="Objective-ModificationStamp">
      <value order="0">2021-02-03T20:51:36Z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vA8559436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C6ED-6589-48F5-AA35-D4BD245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14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May Vitale</cp:lastModifiedBy>
  <cp:revision>7</cp:revision>
  <dcterms:created xsi:type="dcterms:W3CDTF">2020-03-09T23:16:00Z</dcterms:created>
  <dcterms:modified xsi:type="dcterms:W3CDTF">2021-02-03T20:51:00Z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A4652710</vt:lpwstr>
  </property>
  <property fmtid="{D5CDD505-2E9C-101B-9397-08002B2CF9AE}" pid="4" name="Objective-Title">
    <vt:lpwstr>Executive Officer 301020 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2021-02-03T20:51:36Z</vt:filetime>
  </property>
  <property fmtid="{D5CDD505-2E9C-101B-9397-08002B2CF9AE}" pid="10" name="Objective-ModificationStamp">
    <vt:filetime>2021-02-03T20:51:36Z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vA8559436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