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5A81A" w14:textId="3D2EA957" w:rsidR="00AE7A74" w:rsidRDefault="00874C56">
      <w:r>
        <w:rPr>
          <w:noProof/>
        </w:rPr>
        <w:t>w</w:t>
      </w:r>
      <w:r w:rsidR="000050F2" w:rsidRPr="00A3363E">
        <w:rPr>
          <w:noProof/>
        </w:rPr>
        <w:drawing>
          <wp:inline distT="0" distB="0" distL="0" distR="0" wp14:anchorId="281B97E4" wp14:editId="238890B2">
            <wp:extent cx="5731510" cy="1318260"/>
            <wp:effectExtent l="0" t="0" r="2540" b="0"/>
            <wp:docPr id="6" name="Picture 5" descr="The Spark - Shaping a world-class HR.  Igniting new conversations and inspiring new ways of working in HR.">
              <a:extLst xmlns:a="http://schemas.openxmlformats.org/drawingml/2006/main">
                <a:ext uri="{FF2B5EF4-FFF2-40B4-BE49-F238E27FC236}">
                  <a16:creationId xmlns:a16="http://schemas.microsoft.com/office/drawing/2014/main" id="{89B54A31-F679-4275-AA6E-007E7954BA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89B54A31-F679-4275-AA6E-007E7954BA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0DD14" w14:textId="6F6E137E" w:rsidR="000050F2" w:rsidRDefault="000050F2" w:rsidP="000050F2"/>
    <w:p w14:paraId="3B466569" w14:textId="129D1B45" w:rsidR="007D5DE0" w:rsidRDefault="000050F2" w:rsidP="007D5DE0">
      <w:pPr>
        <w:spacing w:after="0"/>
        <w:jc w:val="center"/>
        <w:rPr>
          <w:b/>
          <w:bCs/>
        </w:rPr>
      </w:pPr>
      <w:r w:rsidRPr="00A3363E">
        <w:rPr>
          <w:b/>
          <w:bCs/>
        </w:rPr>
        <w:t xml:space="preserve">Discussion questions for Podcast </w:t>
      </w:r>
      <w:r w:rsidR="00822838">
        <w:rPr>
          <w:b/>
          <w:bCs/>
        </w:rPr>
        <w:t>4</w:t>
      </w:r>
    </w:p>
    <w:p w14:paraId="369701CE" w14:textId="302BCEFB" w:rsidR="007D5DE0" w:rsidRDefault="007D5DE0" w:rsidP="007D5DE0">
      <w:pPr>
        <w:spacing w:after="0"/>
        <w:jc w:val="center"/>
        <w:rPr>
          <w:b/>
          <w:bCs/>
        </w:rPr>
      </w:pPr>
      <w:r>
        <w:rPr>
          <w:b/>
          <w:bCs/>
        </w:rPr>
        <w:t>J</w:t>
      </w:r>
      <w:r w:rsidR="00822838">
        <w:rPr>
          <w:b/>
          <w:bCs/>
        </w:rPr>
        <w:t>ody Grima and Scott Johnston</w:t>
      </w:r>
    </w:p>
    <w:p w14:paraId="0CB13607" w14:textId="1BB02D68" w:rsidR="007D5DE0" w:rsidRDefault="00822838" w:rsidP="007D5DE0">
      <w:pPr>
        <w:spacing w:after="0"/>
        <w:jc w:val="center"/>
        <w:rPr>
          <w:rFonts w:ascii="Calibri" w:hAnsi="Calibri" w:cs="Calibri"/>
          <w:b/>
          <w:bCs/>
          <w:color w:val="000000"/>
          <w:shd w:val="clear" w:color="auto" w:fill="F2F2F2"/>
        </w:rPr>
      </w:pPr>
      <w:r>
        <w:rPr>
          <w:rFonts w:ascii="Calibri" w:hAnsi="Calibri" w:cs="Calibri"/>
          <w:b/>
          <w:bCs/>
          <w:color w:val="000000"/>
          <w:shd w:val="clear" w:color="auto" w:fill="F2F2F2"/>
        </w:rPr>
        <w:t>Curating responsive, flexible and resilient organi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hd w:val="clear" w:color="auto" w:fill="F2F2F2"/>
        </w:rPr>
        <w:t>sational cultures</w:t>
      </w:r>
    </w:p>
    <w:p w14:paraId="6CEEB0B2" w14:textId="50CAA76D" w:rsidR="000050F2" w:rsidRDefault="00822838" w:rsidP="007D5DE0">
      <w:pPr>
        <w:spacing w:after="0"/>
        <w:jc w:val="center"/>
        <w:rPr>
          <w:rFonts w:ascii="Calibri" w:hAnsi="Calibri" w:cs="Calibri"/>
          <w:b/>
          <w:bCs/>
          <w:color w:val="000000"/>
          <w:shd w:val="clear" w:color="auto" w:fill="F2F2F2"/>
        </w:rPr>
      </w:pPr>
      <w:r>
        <w:rPr>
          <w:rFonts w:ascii="Calibri" w:hAnsi="Calibri" w:cs="Calibri"/>
          <w:b/>
          <w:bCs/>
          <w:color w:val="000000"/>
          <w:shd w:val="clear" w:color="auto" w:fill="F2F2F2"/>
        </w:rPr>
        <w:t>and work practices for ongoing change</w:t>
      </w:r>
    </w:p>
    <w:p w14:paraId="0985E6BB" w14:textId="77777777" w:rsidR="007D5DE0" w:rsidRPr="007D5DE0" w:rsidRDefault="007D5DE0" w:rsidP="007D5DE0">
      <w:pPr>
        <w:spacing w:after="0"/>
        <w:jc w:val="center"/>
        <w:rPr>
          <w:b/>
          <w:bCs/>
        </w:rPr>
      </w:pPr>
    </w:p>
    <w:p w14:paraId="0E08F343" w14:textId="40C381B7" w:rsidR="00820189" w:rsidRDefault="00820189" w:rsidP="00820189">
      <w:pPr>
        <w:pStyle w:val="ListParagraph"/>
        <w:numPr>
          <w:ilvl w:val="0"/>
          <w:numId w:val="3"/>
        </w:numPr>
        <w:spacing w:after="0"/>
        <w:ind w:left="714" w:hanging="357"/>
      </w:pPr>
      <w:r>
        <w:t>Tanya mentions some recent HR research she has been conducting on the question “can anyone do HR”, what are your thoughts about this and why?</w:t>
      </w:r>
    </w:p>
    <w:p w14:paraId="7D36A902" w14:textId="77777777" w:rsidR="00820189" w:rsidRDefault="00820189" w:rsidP="00820189">
      <w:pPr>
        <w:spacing w:after="0"/>
        <w:ind w:left="357"/>
      </w:pPr>
    </w:p>
    <w:p w14:paraId="74C33908" w14:textId="121AC344" w:rsidR="00820189" w:rsidRDefault="00A60A6D" w:rsidP="001C3DC7">
      <w:pPr>
        <w:pStyle w:val="ListParagraph"/>
        <w:numPr>
          <w:ilvl w:val="0"/>
          <w:numId w:val="3"/>
        </w:numPr>
      </w:pPr>
      <w:r>
        <w:t xml:space="preserve">How adaptable are you?  Complete the </w:t>
      </w:r>
      <w:hyperlink r:id="rId6" w:history="1">
        <w:r w:rsidRPr="00905299">
          <w:rPr>
            <w:rStyle w:val="Hyperlink"/>
          </w:rPr>
          <w:t>Adaptability Quotient test</w:t>
        </w:r>
      </w:hyperlink>
      <w:r>
        <w:t xml:space="preserve"> listed in the References to discover your </w:t>
      </w:r>
      <w:r w:rsidRPr="00A60A6D">
        <w:t xml:space="preserve">ability to adapt to </w:t>
      </w:r>
      <w:r w:rsidR="00905299" w:rsidRPr="00A60A6D">
        <w:t>rapidly changing</w:t>
      </w:r>
      <w:r w:rsidRPr="00A60A6D">
        <w:t xml:space="preserve"> environments</w:t>
      </w:r>
      <w:r>
        <w:t>.  Discuss your results with your colleagues.</w:t>
      </w:r>
    </w:p>
    <w:p w14:paraId="006FCD97" w14:textId="77777777" w:rsidR="00820189" w:rsidRDefault="00820189" w:rsidP="00820189">
      <w:pPr>
        <w:pStyle w:val="ListParagraph"/>
      </w:pPr>
    </w:p>
    <w:p w14:paraId="57337D7E" w14:textId="618D5BFE" w:rsidR="001C3DC7" w:rsidRDefault="001C3DC7" w:rsidP="001C3DC7">
      <w:pPr>
        <w:pStyle w:val="ListParagraph"/>
        <w:numPr>
          <w:ilvl w:val="0"/>
          <w:numId w:val="3"/>
        </w:numPr>
      </w:pPr>
      <w:r>
        <w:t>Has</w:t>
      </w:r>
      <w:r w:rsidR="00324078">
        <w:t xml:space="preserve"> the HR function in your agency become more embedded in the business</w:t>
      </w:r>
      <w:r w:rsidR="00CA7097">
        <w:t xml:space="preserve"> in recent months</w:t>
      </w:r>
      <w:r w:rsidR="00324078">
        <w:t xml:space="preserve"> and enabled a better connection between business and workforce strategy?</w:t>
      </w:r>
      <w:r>
        <w:t xml:space="preserve"> Is so, how? If not, what are some of the barriers?</w:t>
      </w:r>
      <w:r w:rsidR="00324078">
        <w:t xml:space="preserve"> </w:t>
      </w:r>
    </w:p>
    <w:p w14:paraId="67F2A31F" w14:textId="77777777" w:rsidR="00CA7097" w:rsidRDefault="00CA7097" w:rsidP="00CA7097">
      <w:pPr>
        <w:pStyle w:val="ListParagraph"/>
      </w:pPr>
    </w:p>
    <w:p w14:paraId="37EA8138" w14:textId="3AD4C319" w:rsidR="007D5DE0" w:rsidRDefault="00F46F59" w:rsidP="007D5DE0">
      <w:pPr>
        <w:pStyle w:val="ListParagraph"/>
        <w:numPr>
          <w:ilvl w:val="0"/>
          <w:numId w:val="3"/>
        </w:numPr>
      </w:pPr>
      <w:r>
        <w:t xml:space="preserve">Scott Johnston states that one of the key things that HR can do in their role as trusted advisors </w:t>
      </w:r>
      <w:r w:rsidR="002E5F37">
        <w:t>of the business</w:t>
      </w:r>
      <w:r>
        <w:t xml:space="preserve"> is to know when to give firm advice and when </w:t>
      </w:r>
      <w:r w:rsidR="00A60A6D">
        <w:t>to</w:t>
      </w:r>
      <w:r>
        <w:t xml:space="preserve"> work together </w:t>
      </w:r>
      <w:r w:rsidR="00A60A6D">
        <w:t xml:space="preserve">with your business leaders </w:t>
      </w:r>
      <w:r>
        <w:t xml:space="preserve">to resolve problems. </w:t>
      </w:r>
      <w:r w:rsidR="00FB4A44">
        <w:t xml:space="preserve">In your/your team’s role as trusted advisors, how </w:t>
      </w:r>
      <w:r w:rsidR="00A60A6D">
        <w:t>do</w:t>
      </w:r>
      <w:r w:rsidR="00FB4A44">
        <w:t xml:space="preserve"> you ensure </w:t>
      </w:r>
      <w:r w:rsidR="00A60A6D">
        <w:t>you</w:t>
      </w:r>
      <w:r w:rsidR="00FB4A44">
        <w:t xml:space="preserve"> respond appropriately to the needs of business leaders</w:t>
      </w:r>
      <w:r w:rsidR="00CA7097">
        <w:t xml:space="preserve"> and</w:t>
      </w:r>
      <w:r w:rsidR="00FB4A44">
        <w:t xml:space="preserve"> </w:t>
      </w:r>
      <w:r w:rsidR="00CA7097">
        <w:t xml:space="preserve">ultimately </w:t>
      </w:r>
      <w:r w:rsidR="003C27D6">
        <w:t>add to their</w:t>
      </w:r>
      <w:r w:rsidR="00CA7097">
        <w:t xml:space="preserve"> </w:t>
      </w:r>
      <w:r w:rsidR="00A60A6D">
        <w:t>decision-</w:t>
      </w:r>
      <w:r w:rsidR="00CA7097">
        <w:t xml:space="preserve"> making</w:t>
      </w:r>
      <w:r w:rsidR="003C27D6">
        <w:t xml:space="preserve"> confidence</w:t>
      </w:r>
      <w:r w:rsidR="00CA7097">
        <w:t>?</w:t>
      </w:r>
    </w:p>
    <w:p w14:paraId="2780F148" w14:textId="77777777" w:rsidR="00A60A6D" w:rsidRDefault="00A60A6D" w:rsidP="00A60A6D">
      <w:pPr>
        <w:pStyle w:val="ListParagraph"/>
      </w:pPr>
    </w:p>
    <w:p w14:paraId="0F4D674F" w14:textId="5127C380" w:rsidR="00A60A6D" w:rsidRDefault="00A60A6D" w:rsidP="007D5DE0">
      <w:pPr>
        <w:pStyle w:val="ListParagraph"/>
        <w:numPr>
          <w:ilvl w:val="0"/>
          <w:numId w:val="3"/>
        </w:numPr>
      </w:pPr>
      <w:r>
        <w:t xml:space="preserve">Jody believes in the saying </w:t>
      </w:r>
      <w:r w:rsidRPr="00A60A6D">
        <w:t>“Culture eats strategy for breakfast” – if you don’t have the right culture then you won’t achieve required change.</w:t>
      </w:r>
      <w:r>
        <w:t xml:space="preserve">  </w:t>
      </w:r>
      <w:r w:rsidR="002C5EE1">
        <w:t xml:space="preserve">To adapt continually to new contexts organisations must </w:t>
      </w:r>
      <w:r w:rsidRPr="00A60A6D">
        <w:t>test</w:t>
      </w:r>
      <w:r w:rsidR="002C5EE1">
        <w:t xml:space="preserve"> new strategies and if they f</w:t>
      </w:r>
      <w:r w:rsidRPr="00A60A6D">
        <w:t>ail</w:t>
      </w:r>
      <w:r w:rsidR="002C5EE1">
        <w:t xml:space="preserve">, </w:t>
      </w:r>
      <w:r w:rsidRPr="00A60A6D">
        <w:t xml:space="preserve">repivot and keep </w:t>
      </w:r>
      <w:r w:rsidR="002C5EE1">
        <w:t>moving forward, don’t be afraid to fail fast</w:t>
      </w:r>
      <w:r>
        <w:rPr>
          <w:rFonts w:ascii="Helvetica" w:hAnsi="Helvetica"/>
          <w:lang w:val="en-US"/>
        </w:rPr>
        <w:t>.</w:t>
      </w:r>
      <w:r w:rsidR="002C5EE1">
        <w:rPr>
          <w:rFonts w:ascii="Helvetica" w:hAnsi="Helvetica"/>
          <w:lang w:val="en-US"/>
        </w:rPr>
        <w:t xml:space="preserve">  </w:t>
      </w:r>
      <w:r w:rsidR="002C5EE1" w:rsidRPr="002C5EE1">
        <w:t>Do you agree with this mindset?</w:t>
      </w:r>
      <w:r>
        <w:rPr>
          <w:rFonts w:ascii="Helvetica" w:hAnsi="Helvetica"/>
          <w:lang w:val="en-US"/>
        </w:rPr>
        <w:t xml:space="preserve"> </w:t>
      </w:r>
    </w:p>
    <w:p w14:paraId="21B296D5" w14:textId="77777777" w:rsidR="007D5DE0" w:rsidRDefault="007D5DE0" w:rsidP="007D5DE0">
      <w:pPr>
        <w:pStyle w:val="ListParagraph"/>
      </w:pPr>
    </w:p>
    <w:p w14:paraId="539F30AF" w14:textId="7D83D957" w:rsidR="00E52542" w:rsidRDefault="00E52542" w:rsidP="001C3DC7">
      <w:pPr>
        <w:pStyle w:val="ListParagraph"/>
        <w:numPr>
          <w:ilvl w:val="0"/>
          <w:numId w:val="3"/>
        </w:numPr>
      </w:pPr>
      <w:r>
        <w:t xml:space="preserve">Jody </w:t>
      </w:r>
      <w:r w:rsidR="00317631">
        <w:t>and Scott both describe how DCS is</w:t>
      </w:r>
      <w:r w:rsidR="003C27D6">
        <w:t xml:space="preserve"> </w:t>
      </w:r>
      <w:r w:rsidR="00317631">
        <w:t xml:space="preserve">transforming roles, work practices and skill sets to meet changing customer and organisation needs in an environment of ongoing disruption.  And that </w:t>
      </w:r>
      <w:r>
        <w:t xml:space="preserve">it is equally important </w:t>
      </w:r>
      <w:r w:rsidR="00317631">
        <w:t>for</w:t>
      </w:r>
      <w:r>
        <w:t xml:space="preserve"> HR</w:t>
      </w:r>
      <w:r w:rsidR="00317631">
        <w:t xml:space="preserve"> to</w:t>
      </w:r>
      <w:r>
        <w:t xml:space="preserve"> support the emotional resilience of staff. How </w:t>
      </w:r>
      <w:r w:rsidR="00317631">
        <w:t>is</w:t>
      </w:r>
      <w:r>
        <w:t xml:space="preserve"> your HR team focu</w:t>
      </w:r>
      <w:r w:rsidR="00317631">
        <w:t>ssing</w:t>
      </w:r>
      <w:r>
        <w:t xml:space="preserve"> on the individual needs of staff to ensure they feel safe, supported and have the resources they need to work effectively during times of change?</w:t>
      </w:r>
    </w:p>
    <w:p w14:paraId="1D1B9E64" w14:textId="77777777" w:rsidR="00E52542" w:rsidRDefault="00E52542" w:rsidP="00E52542">
      <w:pPr>
        <w:pStyle w:val="ListParagraph"/>
      </w:pPr>
    </w:p>
    <w:p w14:paraId="575AA560" w14:textId="13D9BAFF" w:rsidR="00781133" w:rsidRDefault="000B0064" w:rsidP="001C3DC7">
      <w:pPr>
        <w:pStyle w:val="ListParagraph"/>
        <w:numPr>
          <w:ilvl w:val="0"/>
          <w:numId w:val="3"/>
        </w:numPr>
      </w:pPr>
      <w:r>
        <w:t>How has a supportive and inclusive culture enabled a better employee experience in your agency, and in turn a better service for customers?</w:t>
      </w:r>
    </w:p>
    <w:p w14:paraId="5FE405BF" w14:textId="77777777" w:rsidR="00396EAE" w:rsidRDefault="00396EAE" w:rsidP="00396EAE">
      <w:pPr>
        <w:pStyle w:val="ListParagraph"/>
      </w:pPr>
    </w:p>
    <w:p w14:paraId="53FE5A88" w14:textId="39B732EA" w:rsidR="00396EAE" w:rsidRPr="000050F2" w:rsidRDefault="00396EAE" w:rsidP="00396EAE"/>
    <w:sectPr w:rsidR="00396EAE" w:rsidRPr="0000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77471"/>
    <w:multiLevelType w:val="hybridMultilevel"/>
    <w:tmpl w:val="494A1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25604"/>
    <w:multiLevelType w:val="hybridMultilevel"/>
    <w:tmpl w:val="86226D1A"/>
    <w:lvl w:ilvl="0" w:tplc="283857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24C33"/>
    <w:multiLevelType w:val="hybridMultilevel"/>
    <w:tmpl w:val="E6B651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2"/>
    <w:rsid w:val="000050F2"/>
    <w:rsid w:val="00034A7E"/>
    <w:rsid w:val="00053982"/>
    <w:rsid w:val="000B0064"/>
    <w:rsid w:val="001950B7"/>
    <w:rsid w:val="001C3DC7"/>
    <w:rsid w:val="00235550"/>
    <w:rsid w:val="002C5EE1"/>
    <w:rsid w:val="002E5F37"/>
    <w:rsid w:val="00317631"/>
    <w:rsid w:val="00324078"/>
    <w:rsid w:val="003430F3"/>
    <w:rsid w:val="00396EAE"/>
    <w:rsid w:val="003C27D6"/>
    <w:rsid w:val="004C4B84"/>
    <w:rsid w:val="00535389"/>
    <w:rsid w:val="005F1EFB"/>
    <w:rsid w:val="00605611"/>
    <w:rsid w:val="007710A9"/>
    <w:rsid w:val="00781133"/>
    <w:rsid w:val="007A0AB5"/>
    <w:rsid w:val="007D5DE0"/>
    <w:rsid w:val="007F42D7"/>
    <w:rsid w:val="00816FFA"/>
    <w:rsid w:val="00820189"/>
    <w:rsid w:val="00822838"/>
    <w:rsid w:val="00874C56"/>
    <w:rsid w:val="008F1CEB"/>
    <w:rsid w:val="00905299"/>
    <w:rsid w:val="00997693"/>
    <w:rsid w:val="00A60A6D"/>
    <w:rsid w:val="00AE7A74"/>
    <w:rsid w:val="00B20FD5"/>
    <w:rsid w:val="00B57281"/>
    <w:rsid w:val="00B73735"/>
    <w:rsid w:val="00CA7097"/>
    <w:rsid w:val="00E0450A"/>
    <w:rsid w:val="00E52542"/>
    <w:rsid w:val="00EF492A"/>
    <w:rsid w:val="00F02896"/>
    <w:rsid w:val="00F46F59"/>
    <w:rsid w:val="00F653C8"/>
    <w:rsid w:val="00FB4A44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75BE"/>
  <w15:chartTrackingRefBased/>
  <w15:docId w15:val="{B9F1480F-DACD-492A-B837-FB748C59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0F2"/>
    <w:pPr>
      <w:ind w:left="720"/>
      <w:contextualSpacing/>
    </w:pPr>
  </w:style>
  <w:style w:type="paragraph" w:styleId="Revision">
    <w:name w:val="Revision"/>
    <w:hidden/>
    <w:uiPriority w:val="99"/>
    <w:semiHidden/>
    <w:rsid w:val="007D5D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5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ecutiveagenda.com/resources/blog/how-adaptable-are-you-take-adaptability-quotient-aq-test-and-find-ou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Fryer</dc:creator>
  <cp:keywords/>
  <dc:description/>
  <cp:lastModifiedBy>Hoturoa Hawira</cp:lastModifiedBy>
  <cp:revision>4</cp:revision>
  <dcterms:created xsi:type="dcterms:W3CDTF">2020-09-21T01:06:00Z</dcterms:created>
  <dcterms:modified xsi:type="dcterms:W3CDTF">2020-09-22T03:25:00Z</dcterms:modified>
</cp:coreProperties>
</file>