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76515026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3F5EE41F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36625B32" w14:textId="77777777" w:rsidR="00801E41" w:rsidRDefault="00801E41" w:rsidP="00C60D72">
            <w:pPr>
              <w:pStyle w:val="TableTextWhite"/>
            </w:pPr>
            <w:r>
              <w:t>Clerk Grade 3/4</w:t>
            </w:r>
          </w:p>
        </w:tc>
      </w:tr>
      <w:tr w:rsidR="00801E41" w:rsidRPr="00DC0173" w14:paraId="422758A6" w14:textId="77777777" w:rsidTr="00C60D72">
        <w:tc>
          <w:tcPr>
            <w:tcW w:w="4026" w:type="dxa"/>
          </w:tcPr>
          <w:p w14:paraId="287CAA7B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51A50115" w14:textId="732DA3CB" w:rsidR="00801E41" w:rsidRDefault="000463D5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0FE3CFC2" w14:textId="77777777" w:rsidTr="00C60D72">
        <w:tc>
          <w:tcPr>
            <w:tcW w:w="4026" w:type="dxa"/>
          </w:tcPr>
          <w:p w14:paraId="7A809FDC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3381A6AB" w14:textId="668C3D5F" w:rsidR="00801E41" w:rsidRDefault="000463D5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489AE87E" w14:textId="77777777" w:rsidTr="00C60D72">
        <w:tc>
          <w:tcPr>
            <w:tcW w:w="4026" w:type="dxa"/>
          </w:tcPr>
          <w:p w14:paraId="31A5EC97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45722FA7" w14:textId="77777777" w:rsidR="00801E41" w:rsidRDefault="00801E41" w:rsidP="00C60D72">
            <w:pPr>
              <w:pStyle w:val="TableTextWhite"/>
            </w:pPr>
            <w:r>
              <w:t>06 March 2020</w:t>
            </w:r>
          </w:p>
        </w:tc>
      </w:tr>
    </w:tbl>
    <w:p w14:paraId="51B87E54" w14:textId="77777777" w:rsidR="00477EB1" w:rsidRPr="00E55704" w:rsidRDefault="00477EB1" w:rsidP="00477EB1">
      <w:pPr>
        <w:tabs>
          <w:tab w:val="left" w:pos="2925"/>
        </w:tabs>
        <w:rPr>
          <w:rFonts w:cs="Arial"/>
        </w:rPr>
      </w:pPr>
    </w:p>
    <w:p w14:paraId="260CA81D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4E9A2AB7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Administrative Support Officer provides administrative and support services to facilitate the operation of the team/unit.</w:t>
      </w:r>
    </w:p>
    <w:p w14:paraId="0B658194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5BA38CF3" w14:textId="77777777" w:rsidR="000463D5" w:rsidRPr="000463D5" w:rsidRDefault="007E77DC" w:rsidP="000463D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Provide a range of administrative and support services, including records management, routine correspondence, meeting and event coordination, to support the effective operation of the team/unit</w:t>
      </w:r>
    </w:p>
    <w:p w14:paraId="79BAA171" w14:textId="77777777" w:rsidR="000463D5" w:rsidRPr="000463D5" w:rsidRDefault="007E77DC" w:rsidP="000463D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Collect and compile information for, and prepare documentation and correspondence in line with quality and organisational requirements, to support information flow and inform decision making</w:t>
      </w:r>
    </w:p>
    <w:p w14:paraId="62CEC541" w14:textId="77777777" w:rsidR="000463D5" w:rsidRPr="000463D5" w:rsidRDefault="007E77DC" w:rsidP="000463D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Complete routine financial transactions and purchasing services, ensuring compliance with agency standards and procedures</w:t>
      </w:r>
    </w:p>
    <w:p w14:paraId="6EDB5764" w14:textId="77777777" w:rsidR="000463D5" w:rsidRPr="000463D5" w:rsidRDefault="007E77DC" w:rsidP="000463D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Respond to enquiries, and escalate and redirect issues as required, to ensure the provision of accurate information</w:t>
      </w:r>
    </w:p>
    <w:p w14:paraId="5028CF19" w14:textId="63D87D73" w:rsidR="003927AE" w:rsidRPr="000463D5" w:rsidRDefault="007E77DC" w:rsidP="000463D5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Update and maintain records and databases, complying with administrative systems and processes, to ensure that all information is accurate, stored correctly and accessible</w:t>
      </w:r>
    </w:p>
    <w:p w14:paraId="489DE519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6C6AC2F3" w14:textId="5A52FAE8" w:rsidR="003927AE" w:rsidRPr="000463D5" w:rsidRDefault="007E77DC" w:rsidP="000463D5">
      <w:pPr>
        <w:pStyle w:val="ListParagraph"/>
        <w:numPr>
          <w:ilvl w:val="0"/>
          <w:numId w:val="12"/>
        </w:numPr>
        <w:tabs>
          <w:tab w:val="left" w:pos="2925"/>
        </w:tabs>
        <w:rPr>
          <w:rFonts w:ascii="Georgia" w:hAnsi="Georgia"/>
        </w:rPr>
      </w:pPr>
      <w:r>
        <w:t>Delivering multiple administrative support activities and services in line with agreed standards, timeframes and milestones, given tight timeframes and the need to maintain accuracy and attention to detail</w:t>
      </w:r>
    </w:p>
    <w:p w14:paraId="56C5E06F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741948F1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003FDB6B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2CD14A39" w14:textId="7A310E8F" w:rsidR="003927AE" w:rsidRPr="00C978B9" w:rsidRDefault="003927AE" w:rsidP="00A72C86">
            <w:pPr>
              <w:pStyle w:val="TableTextWhite0"/>
            </w:pPr>
            <w:r w:rsidRPr="00C978B9">
              <w:t>Why</w:t>
            </w:r>
          </w:p>
        </w:tc>
      </w:tr>
      <w:tr w:rsidR="003927AE" w:rsidRPr="00A8245E" w14:paraId="2D8C2D93" w14:textId="77777777" w:rsidTr="00E55704">
        <w:tc>
          <w:tcPr>
            <w:tcW w:w="3601" w:type="dxa"/>
            <w:shd w:val="clear" w:color="auto" w:fill="BCBEC0"/>
          </w:tcPr>
          <w:p w14:paraId="091044C8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502B709E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7EE48DA2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75BD2183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73BB98DF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Escalate issues and provide updates</w:t>
            </w:r>
          </w:p>
        </w:tc>
      </w:tr>
      <w:tr w:rsidR="003927AE" w:rsidRPr="00C978B9" w14:paraId="42EB730A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211A6BFA" w14:textId="119DCE9D" w:rsidR="003927AE" w:rsidRPr="00A15CDB" w:rsidRDefault="003927AE" w:rsidP="00A72C86">
            <w:pPr>
              <w:pStyle w:val="TableText"/>
            </w:pPr>
            <w:r>
              <w:t xml:space="preserve">Work </w:t>
            </w:r>
            <w:r w:rsidR="000463D5">
              <w:t>T</w:t>
            </w:r>
            <w:r>
              <w:t>eam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0DAD0D7F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Participate in meetings, share information and provide input on issues</w:t>
            </w:r>
          </w:p>
        </w:tc>
      </w:tr>
      <w:tr w:rsidR="003927AE" w:rsidRPr="00C978B9" w14:paraId="4C059668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5DA91F6C" w14:textId="639F7832" w:rsidR="003927AE" w:rsidRPr="00A15CDB" w:rsidRDefault="003927AE" w:rsidP="00A72C86">
            <w:pPr>
              <w:pStyle w:val="TableText"/>
            </w:pPr>
            <w:r>
              <w:t>Clients/</w:t>
            </w:r>
            <w:r w:rsidR="000463D5">
              <w:t>C</w:t>
            </w:r>
            <w:r>
              <w:t>ustomers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C275571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Respond to queries, identify needs, communicate services and redirect, escalate or resolve issues</w:t>
            </w:r>
          </w:p>
        </w:tc>
      </w:tr>
      <w:tr w:rsidR="003927AE" w:rsidRPr="00A8245E" w14:paraId="1C6E3856" w14:textId="77777777" w:rsidTr="00E55704">
        <w:tc>
          <w:tcPr>
            <w:tcW w:w="3601" w:type="dxa"/>
            <w:shd w:val="clear" w:color="auto" w:fill="BCBEC0"/>
          </w:tcPr>
          <w:p w14:paraId="0D680321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6A4CB951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24CAB75B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B7401E6" w14:textId="7390198C" w:rsidR="003927AE" w:rsidRPr="00A15CDB" w:rsidRDefault="003927AE" w:rsidP="00A72C86">
            <w:pPr>
              <w:pStyle w:val="TableText"/>
            </w:pPr>
            <w:r>
              <w:t>Customers/</w:t>
            </w:r>
            <w:r w:rsidR="000463D5">
              <w:t>S</w:t>
            </w:r>
            <w:r>
              <w:t>uppliers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C79B969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Respond to queries, identify needs, communicate services and redirect, escalate or resolve issues</w:t>
            </w:r>
          </w:p>
        </w:tc>
      </w:tr>
    </w:tbl>
    <w:p w14:paraId="0FE8D91B" w14:textId="77777777" w:rsidR="003927AE" w:rsidRDefault="003927AE" w:rsidP="00992D35">
      <w:pPr>
        <w:jc w:val="right"/>
      </w:pPr>
    </w:p>
    <w:p w14:paraId="72DD9960" w14:textId="77777777" w:rsidR="003927AE" w:rsidRDefault="003927AE" w:rsidP="003927AE">
      <w:pPr>
        <w:pStyle w:val="Heading1"/>
        <w:rPr>
          <w:sz w:val="28"/>
        </w:rPr>
      </w:pPr>
      <w:r w:rsidRPr="00614552">
        <w:lastRenderedPageBreak/>
        <w:t>Role dimensions</w:t>
      </w:r>
    </w:p>
    <w:p w14:paraId="3A51FD66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7672FFE7" w14:textId="61638142" w:rsidR="003927AE" w:rsidRPr="00603D53" w:rsidRDefault="000463D5" w:rsidP="003927AE">
      <w:pPr>
        <w:rPr>
          <w:rFonts w:cs="Arial"/>
          <w:szCs w:val="26"/>
        </w:rPr>
      </w:pPr>
      <w:r>
        <w:t>NA</w:t>
      </w:r>
    </w:p>
    <w:p w14:paraId="34D0368E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32C9C652" w14:textId="022CEF52" w:rsidR="003927AE" w:rsidRPr="00603D53" w:rsidRDefault="000463D5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01C9FE60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3D306066" w14:textId="5C8D45B4" w:rsidR="003927AE" w:rsidRPr="00603D53" w:rsidRDefault="000463D5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03EEF364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00FBEEA4" w14:textId="54149918" w:rsidR="003927AE" w:rsidRDefault="000463D5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6035E2FC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0E51C7E0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726D862F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6EC1A08C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15391538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49EFD0A5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102438D7" w14:textId="77777777" w:rsidR="00BB12E9" w:rsidRPr="00BB12E9" w:rsidRDefault="00BB12E9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5621882E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58A53CFD" w14:textId="77777777"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t>FOCUS CAPABILITIES</w:t>
            </w:r>
          </w:p>
        </w:tc>
      </w:tr>
      <w:tr w:rsidR="003927AE" w:rsidRPr="00C978B9" w14:paraId="797C0222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5F72377B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3BC763AB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6B4765DE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D1BF22E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2426A45B" w14:textId="77777777"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54F9F2E9" w14:textId="77777777" w:rsidTr="00E565B9">
        <w:tc>
          <w:tcPr>
            <w:tcW w:w="1406" w:type="dxa"/>
            <w:tcBorders>
              <w:bottom w:val="single" w:sz="4" w:space="0" w:color="BCBEC0"/>
            </w:tcBorders>
          </w:tcPr>
          <w:p w14:paraId="0E222314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CB3E81A" wp14:editId="5508B6D6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EA86804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Self</w:t>
            </w:r>
          </w:p>
          <w:p w14:paraId="2DAB52AC" w14:textId="77777777" w:rsidR="002D336D" w:rsidRPr="00AA57E3" w:rsidRDefault="002D336D" w:rsidP="00A72C86">
            <w:pPr>
              <w:pStyle w:val="TableText"/>
              <w:keepNext/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08F5592" w14:textId="77777777" w:rsidR="002D336D" w:rsidRPr="00AA57E3" w:rsidRDefault="002D336D" w:rsidP="002D336D">
            <w:pPr>
              <w:pStyle w:val="TableBullet"/>
            </w:pPr>
            <w:r>
              <w:t>Be willing to develop and apply new skills</w:t>
            </w:r>
          </w:p>
          <w:p w14:paraId="35D287A6" w14:textId="77777777" w:rsidR="002D336D" w:rsidRPr="00AA57E3" w:rsidRDefault="002D336D" w:rsidP="002D336D">
            <w:pPr>
              <w:pStyle w:val="TableBullet"/>
            </w:pPr>
            <w:r>
              <w:t>Show commitment to completing assigned work activities</w:t>
            </w:r>
          </w:p>
          <w:p w14:paraId="68AABB53" w14:textId="77777777" w:rsidR="002D336D" w:rsidRPr="00AA57E3" w:rsidRDefault="002D336D" w:rsidP="002D336D">
            <w:pPr>
              <w:pStyle w:val="TableBullet"/>
            </w:pPr>
            <w:r>
              <w:t>Look for opportunities to learn and develop</w:t>
            </w:r>
          </w:p>
          <w:p w14:paraId="78E15F0D" w14:textId="77777777" w:rsidR="002D336D" w:rsidRPr="00AA57E3" w:rsidRDefault="002D336D" w:rsidP="002D336D">
            <w:pPr>
              <w:pStyle w:val="TableBullet"/>
            </w:pPr>
            <w:r>
              <w:t>Reflect on feedback from colleagues and stakeholders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908783F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1A1EE06D" w14:textId="77777777" w:rsidR="000463D5" w:rsidRDefault="000463D5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0463D5" w:rsidRPr="00803E47" w14:paraId="177CD734" w14:textId="77777777" w:rsidTr="002F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1F583F30" w14:textId="77777777" w:rsidR="000463D5" w:rsidRPr="00803E47" w:rsidRDefault="000463D5" w:rsidP="002F3837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0463D5" w:rsidRPr="00C978B9" w14:paraId="4496F612" w14:textId="77777777" w:rsidTr="002F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2B58934C" w14:textId="77777777" w:rsidR="000463D5" w:rsidRPr="00C978B9" w:rsidRDefault="000463D5" w:rsidP="002F3837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0017A74D" w14:textId="77777777" w:rsidR="000463D5" w:rsidRPr="00C978B9" w:rsidRDefault="000463D5" w:rsidP="002F3837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2679DC89" w14:textId="77777777" w:rsidR="000463D5" w:rsidRDefault="000463D5" w:rsidP="002F3837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C0E4A04" w14:textId="77777777" w:rsidR="000463D5" w:rsidRDefault="000463D5" w:rsidP="002F3837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3B3A3F30" w14:textId="77777777" w:rsidR="000463D5" w:rsidRDefault="000463D5" w:rsidP="002F3837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3F8ED4E5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609D1B2A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DB1C87A" wp14:editId="60DE1971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6280EED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49D14674" w14:textId="77777777" w:rsidR="002D336D" w:rsidRPr="00AA57E3" w:rsidRDefault="002D336D" w:rsidP="00A72C86">
            <w:pPr>
              <w:pStyle w:val="TableText"/>
              <w:keepNext/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C88BE5B" w14:textId="77777777" w:rsidR="002D336D" w:rsidRPr="00AA57E3" w:rsidRDefault="002D336D" w:rsidP="002D336D">
            <w:pPr>
              <w:pStyle w:val="TableBullet"/>
            </w:pPr>
            <w:r>
              <w:t>Recognise the importance of customer service and understanding customer needs</w:t>
            </w:r>
          </w:p>
          <w:p w14:paraId="24FBB0AE" w14:textId="77777777" w:rsidR="002D336D" w:rsidRPr="00AA57E3" w:rsidRDefault="002D336D" w:rsidP="002D336D">
            <w:pPr>
              <w:pStyle w:val="TableBullet"/>
            </w:pPr>
            <w:r>
              <w:t>Help customers understand the services that are available</w:t>
            </w:r>
          </w:p>
          <w:p w14:paraId="66B5D45B" w14:textId="77777777" w:rsidR="002D336D" w:rsidRPr="00AA57E3" w:rsidRDefault="002D336D" w:rsidP="002D336D">
            <w:pPr>
              <w:pStyle w:val="TableBullet"/>
            </w:pPr>
            <w:r>
              <w:t>Take responsibility for delivering services that meet customer requirements</w:t>
            </w:r>
          </w:p>
          <w:p w14:paraId="68A09C65" w14:textId="77777777" w:rsidR="002D336D" w:rsidRPr="00AA57E3" w:rsidRDefault="002D336D" w:rsidP="002D336D">
            <w:pPr>
              <w:pStyle w:val="TableBullet"/>
            </w:pPr>
            <w:r>
              <w:t>Keep customers informed of progress and seek feedback to ensure their needs are met</w:t>
            </w:r>
          </w:p>
          <w:p w14:paraId="749CB9C3" w14:textId="77777777" w:rsidR="002D336D" w:rsidRPr="00AA57E3" w:rsidRDefault="002D336D" w:rsidP="002D336D">
            <w:pPr>
              <w:pStyle w:val="TableBullet"/>
            </w:pPr>
            <w:r>
              <w:t>Show respect, courtesy and fairness when interacting with customers</w:t>
            </w:r>
          </w:p>
          <w:p w14:paraId="3B8F5D55" w14:textId="77777777" w:rsidR="002D336D" w:rsidRPr="00AA57E3" w:rsidRDefault="002D336D" w:rsidP="002D336D">
            <w:pPr>
              <w:pStyle w:val="TableBullet"/>
            </w:pPr>
            <w:r>
              <w:t>Recognise that customer service involves both external and internal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5FC6A83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D336D" w:rsidRPr="00C978B9" w14:paraId="67BA4EC9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E77F764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16F4D64" wp14:editId="30A1F670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B5AA10D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3EE154F3" w14:textId="77777777" w:rsidR="002D336D" w:rsidRPr="00AA57E3" w:rsidRDefault="002D336D" w:rsidP="00A72C86">
            <w:pPr>
              <w:pStyle w:val="TableText"/>
              <w:keepNext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584D753" w14:textId="77777777" w:rsidR="002D336D" w:rsidRPr="00AA57E3" w:rsidRDefault="002D336D" w:rsidP="002D336D">
            <w:pPr>
              <w:pStyle w:val="TableBullet"/>
            </w:pPr>
            <w:r>
              <w:t>Seek clarification when unsure of work tasks</w:t>
            </w:r>
          </w:p>
          <w:p w14:paraId="34457E51" w14:textId="77777777" w:rsidR="002D336D" w:rsidRPr="00AA57E3" w:rsidRDefault="002D336D" w:rsidP="002D336D">
            <w:pPr>
              <w:pStyle w:val="TableBullet"/>
            </w:pPr>
            <w:r>
              <w:t>Complete own work tasks under guidance within set budgets, timeframes and standards</w:t>
            </w:r>
          </w:p>
          <w:p w14:paraId="690BCA3B" w14:textId="77777777" w:rsidR="002D336D" w:rsidRPr="00AA57E3" w:rsidRDefault="002D336D" w:rsidP="002D336D">
            <w:pPr>
              <w:pStyle w:val="TableBullet"/>
            </w:pPr>
            <w:r>
              <w:t>Take the initiative to progress own work</w:t>
            </w:r>
          </w:p>
          <w:p w14:paraId="045A2D5A" w14:textId="77777777" w:rsidR="002D336D" w:rsidRPr="00AA57E3" w:rsidRDefault="002D336D" w:rsidP="002D336D">
            <w:pPr>
              <w:pStyle w:val="TableBullet"/>
            </w:pPr>
            <w:r>
              <w:t>Identify resources needed to complete allocated work tasks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28A8919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D336D" w:rsidRPr="00C978B9" w14:paraId="31AE98FB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A03F943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749FE1D" wp14:editId="489E94B4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57E2853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Technology</w:t>
            </w:r>
          </w:p>
          <w:p w14:paraId="63DDDFB4" w14:textId="77777777" w:rsidR="002D336D" w:rsidRPr="00AA57E3" w:rsidRDefault="002D336D" w:rsidP="00A72C86">
            <w:pPr>
              <w:pStyle w:val="TableText"/>
              <w:keepNext/>
            </w:pPr>
            <w:r>
              <w:t>Understand and use available technologies to maximise efficiencies and effectiveness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1DBD747" w14:textId="77777777" w:rsidR="002D336D" w:rsidRPr="00AA57E3" w:rsidRDefault="002D336D" w:rsidP="002D336D">
            <w:pPr>
              <w:pStyle w:val="TableBullet"/>
            </w:pPr>
            <w:r>
              <w:t>Display familiarity and confidence when applying technology used in role</w:t>
            </w:r>
          </w:p>
          <w:p w14:paraId="79DEA54B" w14:textId="77777777" w:rsidR="002D336D" w:rsidRPr="00AA57E3" w:rsidRDefault="002D336D" w:rsidP="002D336D">
            <w:pPr>
              <w:pStyle w:val="TableBullet"/>
            </w:pPr>
            <w:r>
              <w:t>Comply with records, communication and document control policies</w:t>
            </w:r>
          </w:p>
          <w:p w14:paraId="6D781AAA" w14:textId="77777777" w:rsidR="002D336D" w:rsidRPr="00AA57E3" w:rsidRDefault="002D336D" w:rsidP="002D336D">
            <w:pPr>
              <w:pStyle w:val="TableBullet"/>
            </w:pPr>
            <w:r>
              <w:t>Comply with policies on the acceptable use of technology, including cyber security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3A3E5AB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122F9015" w14:textId="77777777" w:rsidR="003927AE" w:rsidRDefault="003927AE" w:rsidP="003927AE"/>
    <w:p w14:paraId="45B72043" w14:textId="77777777" w:rsidR="003927AE" w:rsidRDefault="003927AE" w:rsidP="003927AE">
      <w:pPr>
        <w:pStyle w:val="Heading1"/>
      </w:pPr>
      <w:r>
        <w:t>Complementary capabilities</w:t>
      </w:r>
    </w:p>
    <w:p w14:paraId="1D5D91BE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29ACF2FA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6AF22933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5654001D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67237532" w14:textId="77777777"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3F752A2C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6F954986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4D329696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28C7CA8A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13B1E601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2AD16DFC" w14:textId="77777777"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4FF4D8A1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E0AEB6C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312755B" wp14:editId="33EBAE75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3F6927D" w14:textId="77777777"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55E6974" w14:textId="77777777"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20048C7" w14:textId="5AD03A80" w:rsidR="002B5704" w:rsidRDefault="0093686F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662768C2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F276643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58B0703" w14:textId="77777777" w:rsidR="002B5704" w:rsidRPr="00A8226F" w:rsidRDefault="002B5704" w:rsidP="00A8064A">
            <w:r>
              <w:t>Act with Integrity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198BC81" w14:textId="77777777" w:rsidR="002B5704" w:rsidRDefault="002B5704" w:rsidP="002B5704">
            <w:r>
              <w:t>Be ethical and professional, and uphold and promote the public sector values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B848677" w14:textId="43E65E61" w:rsidR="002B5704" w:rsidRDefault="0093686F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4AB31C13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0EAB90A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7C970F4" w14:textId="77777777"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5FEFC96" w14:textId="77777777"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22CC5F5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14D41240" w14:textId="77777777" w:rsidR="000463D5" w:rsidRDefault="000463D5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0463D5" w:rsidRPr="00803E47" w14:paraId="4BAD825A" w14:textId="77777777" w:rsidTr="002F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046C5961" w14:textId="77777777" w:rsidR="000463D5" w:rsidRPr="00803E47" w:rsidRDefault="000463D5" w:rsidP="002F3837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0463D5" w:rsidRPr="00C978B9" w14:paraId="0EA5D333" w14:textId="77777777" w:rsidTr="002F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5A6EA5AA" w14:textId="77777777" w:rsidR="000463D5" w:rsidRPr="00C978B9" w:rsidRDefault="000463D5" w:rsidP="002F3837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1D644F8" w14:textId="77777777" w:rsidR="000463D5" w:rsidRPr="00C978B9" w:rsidRDefault="000463D5" w:rsidP="002F3837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7420D29B" w14:textId="77777777" w:rsidR="000463D5" w:rsidRDefault="000463D5" w:rsidP="002F3837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A3C6F75" w14:textId="77777777" w:rsidR="000463D5" w:rsidRDefault="000463D5" w:rsidP="002F3837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6B8CABC0" w14:textId="77777777" w:rsidR="000463D5" w:rsidRDefault="000463D5" w:rsidP="002F3837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32CB0A72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0970BDE4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9C43352" wp14:editId="3F4EC5CC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5318535" w14:textId="77777777" w:rsidR="002B5704" w:rsidRPr="00AA57E3" w:rsidRDefault="002B5704" w:rsidP="00A8064A">
            <w:r>
              <w:t>Communicate Effectively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7D010A2" w14:textId="77777777" w:rsidR="002B5704" w:rsidRPr="00AA57E3" w:rsidRDefault="002B5704" w:rsidP="002B5704">
            <w:r>
              <w:t>Communicate clearly, actively listen to others, and respond with understanding and respect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41ACA2E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0E4F8A25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25C990C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5682ED6" w14:textId="77777777" w:rsidR="002B5704" w:rsidRPr="00A8226F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8D99A8A" w14:textId="77777777" w:rsidR="002B5704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F0A6EF5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7465EADB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C735874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01517A9" w14:textId="77777777"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43966BE" w14:textId="77777777"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9275146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3BCD037E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BCA5D8E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C3AC18E" wp14:editId="040D1D4D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D740507" w14:textId="77777777" w:rsidR="002B5704" w:rsidRPr="00AA57E3" w:rsidRDefault="002B5704" w:rsidP="00A8064A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6F19B83" w14:textId="77777777" w:rsidR="002B5704" w:rsidRPr="00AA57E3" w:rsidRDefault="002B5704" w:rsidP="002B5704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DE7AC61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5A35066B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30BD529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7FD5E50" w14:textId="77777777"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E17E36E" w14:textId="77777777" w:rsidR="002B5704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57CA790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2AA18B94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F441F2C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36CAED5" w14:textId="77777777"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B7BDEAB" w14:textId="77777777"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A1A364B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7A45C1D2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685D1B9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F446193" wp14:editId="4DC3B6BC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6CB64B3" w14:textId="77777777"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3E2ED3C" w14:textId="77777777"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3B3F835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  <w:tr w:rsidR="002B5704" w:rsidRPr="00C978B9" w14:paraId="4A61682B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1299ACF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424EB6A" w14:textId="77777777"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76810C8" w14:textId="77777777"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E58A93E" w14:textId="1970652C" w:rsidR="002B5704" w:rsidRDefault="0093686F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0BC8A48D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15E61FC0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85CD255" w14:textId="77777777"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BFDC897" w14:textId="77777777"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2052E29" w14:textId="77777777" w:rsidR="002B5704" w:rsidRDefault="002B5704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Foundational</w:t>
            </w:r>
          </w:p>
        </w:tc>
      </w:tr>
    </w:tbl>
    <w:p w14:paraId="2B5D7DE8" w14:textId="77777777" w:rsidR="004D15E4" w:rsidRPr="003927AE" w:rsidRDefault="004D15E4" w:rsidP="003927AE"/>
    <w:sectPr w:rsidR="004D15E4" w:rsidRPr="003927AE" w:rsidSect="009D747B"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A94BC" w14:textId="77777777" w:rsidR="00635868" w:rsidRDefault="00635868" w:rsidP="00BB532F">
      <w:pPr>
        <w:spacing w:after="0" w:line="240" w:lineRule="auto"/>
      </w:pPr>
      <w:r>
        <w:separator/>
      </w:r>
    </w:p>
  </w:endnote>
  <w:endnote w:type="continuationSeparator" w:id="0">
    <w:p w14:paraId="335C180A" w14:textId="77777777" w:rsidR="00635868" w:rsidRDefault="00635868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5D9F91FA" w14:textId="77777777" w:rsidTr="00C03AFD">
      <w:tc>
        <w:tcPr>
          <w:tcW w:w="2250" w:type="pct"/>
          <w:vAlign w:val="center"/>
        </w:tcPr>
        <w:p w14:paraId="4ECE1B91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Administrative Support Officer</w:t>
          </w:r>
        </w:p>
      </w:tc>
      <w:tc>
        <w:tcPr>
          <w:tcW w:w="250" w:type="pct"/>
          <w:vAlign w:val="center"/>
        </w:tcPr>
        <w:p w14:paraId="54047BDE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4B10C698" w14:textId="2EAD1C80" w:rsidR="00C03AFD" w:rsidRDefault="00C03AFD" w:rsidP="00C03AFD">
          <w:pPr>
            <w:pStyle w:val="Footer"/>
            <w:jc w:val="right"/>
          </w:pPr>
        </w:p>
      </w:tc>
    </w:tr>
  </w:tbl>
  <w:p w14:paraId="4DB01F14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448B3DF8" w14:textId="77777777" w:rsidTr="0047547E">
      <w:trPr>
        <w:trHeight w:val="811"/>
      </w:trPr>
      <w:tc>
        <w:tcPr>
          <w:tcW w:w="10005" w:type="dxa"/>
          <w:vAlign w:val="bottom"/>
        </w:tcPr>
        <w:p w14:paraId="2F6057D1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1E15C74B" w14:textId="4B55CC45" w:rsidR="00BB532F" w:rsidRDefault="00BB532F" w:rsidP="00BD7BA7">
          <w:pPr>
            <w:pStyle w:val="Footer"/>
            <w:jc w:val="right"/>
          </w:pPr>
        </w:p>
      </w:tc>
    </w:tr>
  </w:tbl>
  <w:p w14:paraId="2CD53600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B5EBC" w14:textId="77777777" w:rsidR="00635868" w:rsidRDefault="00635868" w:rsidP="00BB532F">
      <w:pPr>
        <w:spacing w:after="0" w:line="240" w:lineRule="auto"/>
      </w:pPr>
      <w:r>
        <w:separator/>
      </w:r>
    </w:p>
  </w:footnote>
  <w:footnote w:type="continuationSeparator" w:id="0">
    <w:p w14:paraId="031C33C3" w14:textId="77777777" w:rsidR="00635868" w:rsidRDefault="00635868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69E1C07E" w14:textId="77777777" w:rsidTr="00894A73">
      <w:trPr>
        <w:trHeight w:val="813"/>
      </w:trPr>
      <w:tc>
        <w:tcPr>
          <w:tcW w:w="7082" w:type="dxa"/>
        </w:tcPr>
        <w:p w14:paraId="700BF6CC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1607F26A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Administrative Support Officer</w:t>
          </w:r>
        </w:p>
      </w:tc>
      <w:tc>
        <w:tcPr>
          <w:tcW w:w="3688" w:type="dxa"/>
        </w:tcPr>
        <w:p w14:paraId="49EB7B30" w14:textId="77777777" w:rsidR="000477E1" w:rsidRPr="000477E1" w:rsidRDefault="000477E1" w:rsidP="00030565">
          <w:pPr>
            <w:jc w:val="right"/>
          </w:pPr>
        </w:p>
      </w:tc>
    </w:tr>
  </w:tbl>
  <w:p w14:paraId="14A29CBC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362537"/>
    <w:multiLevelType w:val="hybridMultilevel"/>
    <w:tmpl w:val="C270C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F414A"/>
    <w:multiLevelType w:val="hybridMultilevel"/>
    <w:tmpl w:val="0D6C615C"/>
    <w:lvl w:ilvl="0" w:tplc="D966D54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712EB"/>
    <w:multiLevelType w:val="hybridMultilevel"/>
    <w:tmpl w:val="E402B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c0MbUwMTU2NDQyNjJQ0lEKTi0uzszPAykwrAUA6ACDcy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7FD5"/>
    <w:rsid w:val="000411F6"/>
    <w:rsid w:val="000463D5"/>
    <w:rsid w:val="000477E1"/>
    <w:rsid w:val="00060B58"/>
    <w:rsid w:val="000645C8"/>
    <w:rsid w:val="00067161"/>
    <w:rsid w:val="00071332"/>
    <w:rsid w:val="000A2621"/>
    <w:rsid w:val="000C00E5"/>
    <w:rsid w:val="000C3CC8"/>
    <w:rsid w:val="000D12B3"/>
    <w:rsid w:val="000D799A"/>
    <w:rsid w:val="000F231F"/>
    <w:rsid w:val="00104EC7"/>
    <w:rsid w:val="00117C0A"/>
    <w:rsid w:val="001336E8"/>
    <w:rsid w:val="0013413E"/>
    <w:rsid w:val="00134F5E"/>
    <w:rsid w:val="001471E9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E2792"/>
    <w:rsid w:val="001E27DB"/>
    <w:rsid w:val="001E49B2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9035B"/>
    <w:rsid w:val="005A397B"/>
    <w:rsid w:val="005B10E1"/>
    <w:rsid w:val="005B5053"/>
    <w:rsid w:val="005C7AF5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35868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E2FB7"/>
    <w:rsid w:val="007E77DC"/>
    <w:rsid w:val="00800987"/>
    <w:rsid w:val="00801E41"/>
    <w:rsid w:val="008044BB"/>
    <w:rsid w:val="00805561"/>
    <w:rsid w:val="00806FE1"/>
    <w:rsid w:val="00807ED1"/>
    <w:rsid w:val="00816566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94A73"/>
    <w:rsid w:val="00895190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3686F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2D35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A34F3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5DDE"/>
    <w:rsid w:val="00C01CED"/>
    <w:rsid w:val="00C03AFD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C76F2"/>
    <w:rsid w:val="00CD323E"/>
    <w:rsid w:val="00CE105E"/>
    <w:rsid w:val="00CE1E5E"/>
    <w:rsid w:val="00CF2A85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206E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1615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54C46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image" Target="media/image1.png" Id="rId10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3.xml" Id="R4f8346d5b06941b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A4652711</value>
    </field>
    <field name="Objective-Title">
      <value order="0">Administrative Support Officer_301020 F</value>
    </field>
    <field name="Objective-Description">
      <value order="0"/>
    </field>
    <field name="Objective-CreationStamp">
      <value order="0">2020-03-06T04:24:39Z</value>
    </field>
    <field name="Objective-IsApproved">
      <value order="0">false</value>
    </field>
    <field name="Objective-IsPublished">
      <value order="0">true</value>
    </field>
    <field name="Objective-DatePublished">
      <value order="0">2021-02-03T21:01:10Z</value>
    </field>
    <field name="Objective-ModificationStamp">
      <value order="0">2021-02-03T21:01:10Z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Published</value>
    </field>
    <field name="Objective-VersionId">
      <value order="0">vA8559438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8015-A78A-43AD-A7CB-D93842B1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18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May Vitale</cp:lastModifiedBy>
  <cp:revision>6</cp:revision>
  <dcterms:created xsi:type="dcterms:W3CDTF">2020-03-06T05:24:00Z</dcterms:created>
  <dcterms:modified xsi:type="dcterms:W3CDTF">2021-02-03T21:01:00Z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A4652711</vt:lpwstr>
  </property>
  <property fmtid="{D5CDD505-2E9C-101B-9397-08002B2CF9AE}" pid="4" name="Objective-Title">
    <vt:lpwstr>Administrative Support Officer_301020 F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2020-05-22T06:54:34Z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2021-02-03T21:01:10Z</vt:filetime>
  </property>
  <property fmtid="{D5CDD505-2E9C-101B-9397-08002B2CF9AE}" pid="10" name="Objective-ModificationStamp">
    <vt:filetime>2021-02-03T21:01:10Z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vA8559438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PSC11304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